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2E36" w14:textId="113CA6FE" w:rsidR="009B12BE" w:rsidRPr="00DF686C" w:rsidRDefault="009B12BE" w:rsidP="009B12BE">
      <w:pPr>
        <w:jc w:val="center"/>
        <w:rPr>
          <w:u w:val="single"/>
        </w:rPr>
      </w:pPr>
      <w:r w:rsidRPr="00DF686C">
        <w:rPr>
          <w:noProof/>
          <w:u w:val="single"/>
        </w:rPr>
        <w:drawing>
          <wp:inline distT="0" distB="0" distL="0" distR="0" wp14:anchorId="5EDF1305" wp14:editId="7B2E2957">
            <wp:extent cx="1266092" cy="12127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23" cy="1222548"/>
                    </a:xfrm>
                    <a:prstGeom prst="rect">
                      <a:avLst/>
                    </a:prstGeom>
                  </pic:spPr>
                </pic:pic>
              </a:graphicData>
            </a:graphic>
          </wp:inline>
        </w:drawing>
      </w:r>
    </w:p>
    <w:p w14:paraId="27687517" w14:textId="6D60A8B4" w:rsidR="009B12BE" w:rsidRPr="00DF686C" w:rsidRDefault="009B12BE" w:rsidP="009B12BE">
      <w:pPr>
        <w:jc w:val="center"/>
        <w:rPr>
          <w:u w:val="single"/>
        </w:rPr>
      </w:pPr>
      <w:r w:rsidRPr="00DF686C">
        <w:rPr>
          <w:u w:val="single"/>
        </w:rPr>
        <w:t>Misreading ‘</w:t>
      </w:r>
      <w:r w:rsidR="007D6C46" w:rsidRPr="00DF686C">
        <w:rPr>
          <w:u w:val="single"/>
        </w:rPr>
        <w:t>Support</w:t>
      </w:r>
      <w:r w:rsidRPr="00DF686C">
        <w:rPr>
          <w:u w:val="single"/>
        </w:rPr>
        <w:t>’</w:t>
      </w:r>
      <w:r w:rsidR="007D6C46" w:rsidRPr="00DF686C">
        <w:rPr>
          <w:u w:val="single"/>
        </w:rPr>
        <w:t xml:space="preserve"> </w:t>
      </w:r>
      <w:r w:rsidRPr="00DF686C">
        <w:rPr>
          <w:u w:val="single"/>
        </w:rPr>
        <w:t>as</w:t>
      </w:r>
      <w:r w:rsidR="007D6C46" w:rsidRPr="00DF686C">
        <w:rPr>
          <w:u w:val="single"/>
        </w:rPr>
        <w:t xml:space="preserve"> </w:t>
      </w:r>
      <w:r w:rsidRPr="00DF686C">
        <w:rPr>
          <w:u w:val="single"/>
        </w:rPr>
        <w:t>‘C</w:t>
      </w:r>
      <w:r w:rsidR="007D6C46" w:rsidRPr="00DF686C">
        <w:rPr>
          <w:u w:val="single"/>
        </w:rPr>
        <w:t>are</w:t>
      </w:r>
      <w:r w:rsidRPr="00DF686C">
        <w:rPr>
          <w:u w:val="single"/>
        </w:rPr>
        <w:t>’</w:t>
      </w:r>
      <w:r w:rsidR="007D6C46" w:rsidRPr="00DF686C">
        <w:rPr>
          <w:u w:val="single"/>
        </w:rPr>
        <w:t xml:space="preserve"> </w:t>
      </w:r>
    </w:p>
    <w:p w14:paraId="34E1D662" w14:textId="16500DB1" w:rsidR="00586CCC" w:rsidRPr="00DF686C" w:rsidRDefault="007D6C46" w:rsidP="009B12BE">
      <w:pPr>
        <w:jc w:val="center"/>
        <w:rPr>
          <w:u w:val="single"/>
        </w:rPr>
      </w:pPr>
      <w:r w:rsidRPr="00DF686C">
        <w:rPr>
          <w:u w:val="single"/>
        </w:rPr>
        <w:t xml:space="preserve">A/HRC/52/52 </w:t>
      </w:r>
      <w:r w:rsidR="009B12BE" w:rsidRPr="00DF686C">
        <w:rPr>
          <w:u w:val="single"/>
        </w:rPr>
        <w:t xml:space="preserve">(advanced unedited version) </w:t>
      </w:r>
      <w:r w:rsidRPr="00DF686C">
        <w:rPr>
          <w:u w:val="single"/>
        </w:rPr>
        <w:t>report from the OHCHR</w:t>
      </w:r>
      <w:r w:rsidR="009B12BE" w:rsidRPr="00DF686C">
        <w:rPr>
          <w:rStyle w:val="FootnoteReference"/>
          <w:u w:val="single"/>
        </w:rPr>
        <w:footnoteReference w:id="1"/>
      </w:r>
    </w:p>
    <w:p w14:paraId="3555C192" w14:textId="6354EA45" w:rsidR="007D6C46" w:rsidRPr="00DF686C" w:rsidRDefault="007D6C46" w:rsidP="009B12BE">
      <w:pPr>
        <w:jc w:val="center"/>
        <w:rPr>
          <w:u w:val="single"/>
        </w:rPr>
      </w:pPr>
      <w:r w:rsidRPr="00DF686C">
        <w:rPr>
          <w:u w:val="single"/>
        </w:rPr>
        <w:t>A response from TCI</w:t>
      </w:r>
    </w:p>
    <w:p w14:paraId="64738AD8" w14:textId="40FFD95A" w:rsidR="00AF54D3" w:rsidRPr="00DF686C" w:rsidRDefault="00AF54D3" w:rsidP="00AF54D3">
      <w:pPr>
        <w:pStyle w:val="HChG"/>
        <w:ind w:left="0" w:right="95" w:firstLine="0"/>
        <w:jc w:val="both"/>
        <w:rPr>
          <w:rFonts w:asciiTheme="minorHAnsi" w:hAnsiTheme="minorHAnsi" w:cstheme="minorHAnsi"/>
          <w:b w:val="0"/>
          <w:bCs/>
          <w:sz w:val="22"/>
          <w:szCs w:val="22"/>
        </w:rPr>
      </w:pPr>
      <w:r w:rsidRPr="00DF686C">
        <w:rPr>
          <w:rFonts w:asciiTheme="minorHAnsi" w:hAnsiTheme="minorHAnsi" w:cstheme="minorHAnsi"/>
          <w:b w:val="0"/>
          <w:bCs/>
          <w:sz w:val="22"/>
          <w:szCs w:val="22"/>
        </w:rPr>
        <w:t xml:space="preserve">A report from OHCHR, viz. A/HRC/52/52 </w:t>
      </w:r>
      <w:r w:rsidR="00122E45" w:rsidRPr="00DF686C">
        <w:rPr>
          <w:rFonts w:asciiTheme="minorHAnsi" w:hAnsiTheme="minorHAnsi" w:cstheme="minorHAnsi"/>
          <w:b w:val="0"/>
          <w:bCs/>
          <w:sz w:val="22"/>
          <w:szCs w:val="22"/>
        </w:rPr>
        <w:t>‘</w:t>
      </w:r>
      <w:r w:rsidRPr="00DF686C">
        <w:rPr>
          <w:rFonts w:asciiTheme="minorHAnsi" w:hAnsiTheme="minorHAnsi" w:cstheme="minorHAnsi"/>
          <w:b w:val="0"/>
          <w:bCs/>
          <w:sz w:val="22"/>
          <w:szCs w:val="22"/>
        </w:rPr>
        <w:t>Support systems to ensure community inclusion of persons with disabilities, including as a means of building forward better after the coronavirus disease (COVID-19) pandemic</w:t>
      </w:r>
      <w:r w:rsidR="00122E45" w:rsidRPr="00DF686C">
        <w:rPr>
          <w:rFonts w:asciiTheme="minorHAnsi" w:hAnsiTheme="minorHAnsi" w:cstheme="minorHAnsi"/>
          <w:b w:val="0"/>
          <w:bCs/>
          <w:sz w:val="22"/>
          <w:szCs w:val="22"/>
        </w:rPr>
        <w:t>’</w:t>
      </w:r>
      <w:r w:rsidRPr="00DF686C">
        <w:rPr>
          <w:rFonts w:asciiTheme="minorHAnsi" w:hAnsiTheme="minorHAnsi" w:cstheme="minorHAnsi"/>
          <w:b w:val="0"/>
          <w:bCs/>
          <w:sz w:val="22"/>
          <w:szCs w:val="22"/>
        </w:rPr>
        <w:t xml:space="preserve">, was released early this year.  TCI has focussed interest on the CRPD Article 19, the Right to Live Independently and be Included in the Community, including community support systems and services, and building inclusive communities as the way forward, after the corona virus disease pandemic. TCI was a partner to the initiative of GCDI (Global coalition on De-institutionalization), which supported the work of the CRPD Committee on bringing out the </w:t>
      </w:r>
      <w:r w:rsidR="00122E45" w:rsidRPr="00DF686C">
        <w:rPr>
          <w:rFonts w:asciiTheme="minorHAnsi" w:hAnsiTheme="minorHAnsi" w:cstheme="minorHAnsi"/>
          <w:b w:val="0"/>
          <w:bCs/>
          <w:sz w:val="22"/>
          <w:szCs w:val="22"/>
        </w:rPr>
        <w:t>‘</w:t>
      </w:r>
      <w:r w:rsidRPr="00DF686C">
        <w:rPr>
          <w:rFonts w:asciiTheme="minorHAnsi" w:hAnsiTheme="minorHAnsi" w:cstheme="minorHAnsi"/>
          <w:b w:val="0"/>
          <w:bCs/>
          <w:sz w:val="22"/>
          <w:szCs w:val="22"/>
        </w:rPr>
        <w:t xml:space="preserve">Guidelines on DI, including during </w:t>
      </w:r>
      <w:proofErr w:type="gramStart"/>
      <w:r w:rsidRPr="00DF686C">
        <w:rPr>
          <w:rFonts w:asciiTheme="minorHAnsi" w:hAnsiTheme="minorHAnsi" w:cstheme="minorHAnsi"/>
          <w:b w:val="0"/>
          <w:bCs/>
          <w:sz w:val="22"/>
          <w:szCs w:val="22"/>
        </w:rPr>
        <w:t>emergencies</w:t>
      </w:r>
      <w:r w:rsidR="00122E45" w:rsidRPr="00DF686C">
        <w:rPr>
          <w:rFonts w:asciiTheme="minorHAnsi" w:hAnsiTheme="minorHAnsi" w:cstheme="minorHAnsi"/>
          <w:b w:val="0"/>
          <w:bCs/>
          <w:sz w:val="22"/>
          <w:szCs w:val="22"/>
        </w:rPr>
        <w:t>’</w:t>
      </w:r>
      <w:proofErr w:type="gramEnd"/>
      <w:r w:rsidRPr="00DF686C">
        <w:rPr>
          <w:rFonts w:asciiTheme="minorHAnsi" w:hAnsiTheme="minorHAnsi" w:cstheme="minorHAnsi"/>
          <w:b w:val="0"/>
          <w:bCs/>
          <w:sz w:val="22"/>
          <w:szCs w:val="22"/>
        </w:rPr>
        <w:t>. TCI over the past decade, has cultivated the pedagogy and practice around Article 19, through its members’ works, support for national advocacy around inclusive DI, DRR, political participation, etc. and all its engagements with UN Human Rights mechanisms.</w:t>
      </w:r>
    </w:p>
    <w:p w14:paraId="0409868F" w14:textId="6DD2B380" w:rsidR="00AF54D3" w:rsidRPr="00DF686C" w:rsidRDefault="00AF54D3" w:rsidP="00AF54D3">
      <w:pPr>
        <w:rPr>
          <w:lang w:val="en-GB"/>
        </w:rPr>
      </w:pPr>
      <w:r w:rsidRPr="00DF686C">
        <w:rPr>
          <w:lang w:val="en-GB"/>
        </w:rPr>
        <w:t>Being very close to TCI focus, we respond to the recent report issued by OHCHR viz. A/HRC/52/</w:t>
      </w:r>
      <w:proofErr w:type="gramStart"/>
      <w:r w:rsidRPr="00DF686C">
        <w:rPr>
          <w:lang w:val="en-GB"/>
        </w:rPr>
        <w:t>52..</w:t>
      </w:r>
      <w:proofErr w:type="gramEnd"/>
      <w:r w:rsidRPr="00DF686C">
        <w:rPr>
          <w:lang w:val="en-GB"/>
        </w:rPr>
        <w:t xml:space="preserve"> </w:t>
      </w:r>
    </w:p>
    <w:p w14:paraId="517CD81D" w14:textId="187EA49D" w:rsidR="005E5728" w:rsidRPr="00DF686C" w:rsidRDefault="00AF54D3" w:rsidP="0058236A">
      <w:pPr>
        <w:jc w:val="both"/>
      </w:pPr>
      <w:r w:rsidRPr="00DF686C">
        <w:t>-------------------</w:t>
      </w:r>
    </w:p>
    <w:p w14:paraId="5F540F71" w14:textId="6D675E4D" w:rsidR="00586CCC" w:rsidRPr="00DF686C" w:rsidRDefault="00586CCC" w:rsidP="0058236A">
      <w:pPr>
        <w:jc w:val="both"/>
      </w:pPr>
      <w:r w:rsidRPr="00DF686C">
        <w:t xml:space="preserve">The word ‘care’ does not occur in the text of the Convention, except in a few places. It occurs in articles 18.2, 23 in the context of families which do not ‘care’ for a child with disabilities.  It occurs in 25 in the context of laying out </w:t>
      </w:r>
      <w:r w:rsidR="007D6C46" w:rsidRPr="00DF686C">
        <w:t>the conditions</w:t>
      </w:r>
      <w:r w:rsidRPr="00DF686C">
        <w:t xml:space="preserve"> for human rights-based health ‘care’ and other ‘care’ </w:t>
      </w:r>
      <w:r w:rsidRPr="00DF686C">
        <w:rPr>
          <w:i/>
          <w:iCs/>
        </w:rPr>
        <w:t>services</w:t>
      </w:r>
      <w:r w:rsidRPr="00DF686C">
        <w:t xml:space="preserve">. </w:t>
      </w:r>
      <w:r w:rsidR="0058236A" w:rsidRPr="00DF686C">
        <w:t xml:space="preserve">Indeed, here, it is only used as a generic descriptor of services. </w:t>
      </w:r>
      <w:r w:rsidRPr="00DF686C">
        <w:t xml:space="preserve">It can be stated that ‘care’ is not a concept that is linked to any human right nor a separately listed human right in the CRPD. It does not </w:t>
      </w:r>
      <w:r w:rsidR="003326FC" w:rsidRPr="00DF686C">
        <w:t xml:space="preserve">even </w:t>
      </w:r>
      <w:r w:rsidRPr="00DF686C">
        <w:t>occur in places where one may expect it to- for example 7, on children with disabilities</w:t>
      </w:r>
      <w:r w:rsidR="00351FBC" w:rsidRPr="00DF686C">
        <w:t xml:space="preserve"> or Article 19</w:t>
      </w:r>
      <w:r w:rsidR="0058236A" w:rsidRPr="00DF686C">
        <w:t>;</w:t>
      </w:r>
      <w:r w:rsidRPr="00DF686C">
        <w:t xml:space="preserve"> Nor, </w:t>
      </w:r>
      <w:r w:rsidR="0058236A" w:rsidRPr="00DF686C">
        <w:t xml:space="preserve">importantly, </w:t>
      </w:r>
      <w:r w:rsidRPr="00DF686C">
        <w:t>as a legal piece of caution conditioning or qualifying provision of support for persons with disabilities</w:t>
      </w:r>
      <w:r w:rsidR="007D6C46" w:rsidRPr="00DF686C">
        <w:t xml:space="preserve"> </w:t>
      </w:r>
      <w:r w:rsidR="007D6C46" w:rsidRPr="00DF686C">
        <w:rPr>
          <w:i/>
          <w:iCs/>
        </w:rPr>
        <w:t>vis a viz</w:t>
      </w:r>
      <w:r w:rsidR="007D6C46" w:rsidRPr="00DF686C">
        <w:t xml:space="preserve"> caregivers</w:t>
      </w:r>
      <w:r w:rsidR="00EB2A8C" w:rsidRPr="00DF686C">
        <w:t xml:space="preserve"> or service providers</w:t>
      </w:r>
      <w:r w:rsidRPr="00DF686C">
        <w:t>. Where it occurs, the concept comes in</w:t>
      </w:r>
      <w:r w:rsidR="007D6C46" w:rsidRPr="00DF686C">
        <w:t>,</w:t>
      </w:r>
      <w:r w:rsidRPr="00DF686C">
        <w:t xml:space="preserve"> in an everyday way, and not </w:t>
      </w:r>
      <w:r w:rsidR="0058236A" w:rsidRPr="00DF686C">
        <w:t>subjected</w:t>
      </w:r>
      <w:r w:rsidRPr="00DF686C">
        <w:t xml:space="preserve"> to any kind of specific legal interpretation. </w:t>
      </w:r>
      <w:r w:rsidR="007D6C46" w:rsidRPr="00DF686C">
        <w:t xml:space="preserve">In TCI, we have not heard of any dialogue, debate, elaboration, interpretation or jurisprudence on ‘care’ in the context of </w:t>
      </w:r>
      <w:r w:rsidR="0058236A" w:rsidRPr="00DF686C">
        <w:t xml:space="preserve">CRPD </w:t>
      </w:r>
      <w:r w:rsidR="007E4362" w:rsidRPr="00DF686C">
        <w:t xml:space="preserve">rights </w:t>
      </w:r>
      <w:r w:rsidR="0058236A" w:rsidRPr="00DF686C">
        <w:t xml:space="preserve">and </w:t>
      </w:r>
      <w:r w:rsidR="007D6C46" w:rsidRPr="00DF686C">
        <w:t>persons with disabilities. Indeed, the tensions of using ‘care’ in this context has been in the forefront of disability rights discourse</w:t>
      </w:r>
      <w:r w:rsidR="00EB2A8C" w:rsidRPr="00DF686C">
        <w:t xml:space="preserve"> and has been rejected in favour of ‘support systems and services’- the very essence of Article 19.2</w:t>
      </w:r>
      <w:r w:rsidR="007D6C46" w:rsidRPr="00DF686C">
        <w:t>.</w:t>
      </w:r>
      <w:r w:rsidR="005E5728" w:rsidRPr="00DF686C">
        <w:t xml:space="preserve"> There are no rights related to ‘care’ within the scope of the CRPD, neither for the care giver, nor for the care receiver, as the concept of </w:t>
      </w:r>
      <w:r w:rsidR="00AF54D3" w:rsidRPr="00DF686C">
        <w:t>‘</w:t>
      </w:r>
      <w:r w:rsidR="005E5728" w:rsidRPr="00DF686C">
        <w:t>care</w:t>
      </w:r>
      <w:r w:rsidR="00AF54D3" w:rsidRPr="00DF686C">
        <w:t>’</w:t>
      </w:r>
      <w:r w:rsidR="005E5728" w:rsidRPr="00DF686C">
        <w:t xml:space="preserve"> is null and void within the scope of the CRPD</w:t>
      </w:r>
      <w:r w:rsidR="00DD40D2" w:rsidRPr="00DF686C">
        <w:t xml:space="preserve"> and the disability rights discourse</w:t>
      </w:r>
      <w:r w:rsidR="005E5728" w:rsidRPr="00DF686C">
        <w:t xml:space="preserve">.  This reasoning by TCI cancels the very rationale of this report, as it exists. </w:t>
      </w:r>
      <w:r w:rsidR="00DD40D2" w:rsidRPr="00DF686C">
        <w:t xml:space="preserve"> </w:t>
      </w:r>
      <w:proofErr w:type="spellStart"/>
      <w:r w:rsidR="003326FC" w:rsidRPr="00DF686C">
        <w:t>Infact</w:t>
      </w:r>
      <w:proofErr w:type="spellEnd"/>
      <w:r w:rsidR="003326FC" w:rsidRPr="00DF686C">
        <w:t xml:space="preserve">, in the drafting of the CRPD, and in the jurisprudence </w:t>
      </w:r>
      <w:r w:rsidR="003326FC" w:rsidRPr="00DF686C">
        <w:lastRenderedPageBreak/>
        <w:t xml:space="preserve">thereafter, there was never any doubt that the Convention is about the centrality of disability rights and playing the interests </w:t>
      </w:r>
      <w:r w:rsidR="007E4362" w:rsidRPr="00DF686C">
        <w:t xml:space="preserve">game </w:t>
      </w:r>
      <w:r w:rsidR="003326FC" w:rsidRPr="00DF686C">
        <w:t>between the person with a disability, their care givers and their service provider was set aside</w:t>
      </w:r>
      <w:r w:rsidR="007E4362" w:rsidRPr="00DF686C">
        <w:t>, as always undermining the rights of persons with disabilities</w:t>
      </w:r>
      <w:r w:rsidR="003326FC" w:rsidRPr="00DF686C">
        <w:t>.</w:t>
      </w:r>
    </w:p>
    <w:p w14:paraId="3ADB15CF" w14:textId="41B3FCD5" w:rsidR="0058236A" w:rsidRPr="00DF686C" w:rsidRDefault="003326FC" w:rsidP="0058236A">
      <w:pPr>
        <w:jc w:val="both"/>
      </w:pPr>
      <w:r w:rsidRPr="00DF686C">
        <w:t xml:space="preserve">The document A/HRC/52/52 was developed in response to HRC Resolution 49/12. </w:t>
      </w:r>
      <w:r w:rsidR="00122E45" w:rsidRPr="00DF686C">
        <w:t>‘</w:t>
      </w:r>
      <w:r w:rsidR="00586CCC" w:rsidRPr="00DF686C">
        <w:t>In its resolution 49/12, the Human Rights Council requested the Office of the United Nations High Commissioner for Human Rights (OHCHR) to prepare a thematic study on support systems to ensure community inclusion of persons with disabilities, including as a means of building forward better after the coronavirus disease (COVID-19) pandemic; and a subsequent study on good practices of support systems enabling community inclusion of persons with disabilities</w:t>
      </w:r>
      <w:r w:rsidR="00122E45" w:rsidRPr="00DF686C">
        <w:t>’</w:t>
      </w:r>
      <w:r w:rsidR="00586CCC" w:rsidRPr="00DF686C">
        <w:t>.</w:t>
      </w:r>
      <w:r w:rsidR="007D6C46" w:rsidRPr="00DF686C">
        <w:t xml:space="preserve"> This mandate, in its description, does not mention the concept of ‘care’, </w:t>
      </w:r>
      <w:proofErr w:type="spellStart"/>
      <w:r w:rsidR="007D6C46" w:rsidRPr="00DF686C">
        <w:t>centering</w:t>
      </w:r>
      <w:proofErr w:type="spellEnd"/>
      <w:r w:rsidR="007D6C46" w:rsidRPr="00DF686C">
        <w:t xml:space="preserve"> as it does, support systems that will </w:t>
      </w:r>
      <w:r w:rsidR="009B12BE" w:rsidRPr="00DF686C">
        <w:t>support and assist</w:t>
      </w:r>
      <w:r w:rsidR="007D6C46" w:rsidRPr="00DF686C">
        <w:t xml:space="preserve"> persons with disabilities realize their right to live independently and be included in communities. However, the OHCHR report, while having the promise of reporting on ‘community support systems to ensure the inclusion of persons with disabilities, has turned the wheel of discussion towards </w:t>
      </w:r>
      <w:r w:rsidR="00351FBC" w:rsidRPr="00DF686C">
        <w:t xml:space="preserve">the </w:t>
      </w:r>
      <w:r w:rsidR="007D6C46" w:rsidRPr="00DF686C">
        <w:t>‘care’</w:t>
      </w:r>
      <w:r w:rsidR="00351FBC" w:rsidRPr="00DF686C">
        <w:t xml:space="preserve"> concept</w:t>
      </w:r>
      <w:r w:rsidR="007D6C46" w:rsidRPr="00DF686C">
        <w:t>,</w:t>
      </w:r>
      <w:r w:rsidR="00351FBC" w:rsidRPr="00DF686C">
        <w:t xml:space="preserve"> starting to define the rights problem afresh,</w:t>
      </w:r>
      <w:r w:rsidR="007D6C46" w:rsidRPr="00DF686C">
        <w:t xml:space="preserve"> which is not a part of the mandate of this Resolution.  It is not acceptable that a mandate, participatorily developed with the </w:t>
      </w:r>
      <w:r w:rsidR="00EB2A8C" w:rsidRPr="00DF686C">
        <w:t xml:space="preserve">participation of the </w:t>
      </w:r>
      <w:r w:rsidR="007D6C46" w:rsidRPr="00DF686C">
        <w:t>disability rights movement, turn the question</w:t>
      </w:r>
      <w:r w:rsidR="00EB2A8C" w:rsidRPr="00DF686C">
        <w:t xml:space="preserve"> of support</w:t>
      </w:r>
      <w:r w:rsidR="00351FBC" w:rsidRPr="00DF686C">
        <w:t xml:space="preserve">, found in most articles of the CRPD, </w:t>
      </w:r>
      <w:r w:rsidR="007D6C46" w:rsidRPr="00DF686C">
        <w:t xml:space="preserve">to </w:t>
      </w:r>
      <w:r w:rsidR="00122E45" w:rsidRPr="00DF686C">
        <w:t>‘</w:t>
      </w:r>
      <w:r w:rsidR="007D6C46" w:rsidRPr="00DF686C">
        <w:t>rethinking care systems</w:t>
      </w:r>
      <w:r w:rsidR="00122E45" w:rsidRPr="00DF686C">
        <w:t>’</w:t>
      </w:r>
      <w:r w:rsidR="0058236A" w:rsidRPr="00DF686C">
        <w:t xml:space="preserve">, </w:t>
      </w:r>
      <w:r w:rsidR="00122E45" w:rsidRPr="00DF686C">
        <w:t>‘</w:t>
      </w:r>
      <w:r w:rsidR="007D6C46" w:rsidRPr="00DF686C">
        <w:t>problematizing traditional care models</w:t>
      </w:r>
      <w:r w:rsidR="00122E45" w:rsidRPr="00DF686C">
        <w:t>’</w:t>
      </w:r>
      <w:r w:rsidR="00EB2A8C" w:rsidRPr="00DF686C">
        <w:t xml:space="preserve">, or arriving at a </w:t>
      </w:r>
      <w:r w:rsidR="00122E45" w:rsidRPr="00DF686C">
        <w:t>‘</w:t>
      </w:r>
      <w:r w:rsidR="00EB2A8C" w:rsidRPr="00DF686C">
        <w:t>support approach to care</w:t>
      </w:r>
      <w:r w:rsidR="00122E45" w:rsidRPr="00DF686C">
        <w:t>’</w:t>
      </w:r>
      <w:r w:rsidR="00EB2A8C" w:rsidRPr="00DF686C">
        <w:t xml:space="preserve"> (an incoherent mix of concepts). </w:t>
      </w:r>
      <w:r w:rsidR="007D6C46" w:rsidRPr="00DF686C">
        <w:t xml:space="preserve"> </w:t>
      </w:r>
    </w:p>
    <w:p w14:paraId="31A7B9EF" w14:textId="29AAE44D" w:rsidR="00586CCC" w:rsidRPr="00DF686C" w:rsidRDefault="00351FBC" w:rsidP="00351FBC">
      <w:pPr>
        <w:jc w:val="both"/>
      </w:pPr>
      <w:r w:rsidRPr="00DF686C">
        <w:t xml:space="preserve">The report proposes a new stream of rights ‘the right to provide care’, ‘the right to receive care’ and the ‘right to </w:t>
      </w:r>
      <w:r w:rsidR="00122E45" w:rsidRPr="00DF686C">
        <w:t>self-care</w:t>
      </w:r>
      <w:r w:rsidRPr="00DF686C">
        <w:t>’.  T</w:t>
      </w:r>
      <w:r w:rsidR="00EB2A8C" w:rsidRPr="00DF686C">
        <w:t>here is absolutely no scope of interpreting the human rights narrative</w:t>
      </w:r>
      <w:r w:rsidR="00130DBF" w:rsidRPr="00DF686C">
        <w:t>s, including</w:t>
      </w:r>
      <w:r w:rsidR="00EB2A8C" w:rsidRPr="00DF686C">
        <w:t xml:space="preserve"> of the CRPD</w:t>
      </w:r>
      <w:r w:rsidR="00130DBF" w:rsidRPr="00DF686C">
        <w:t>-</w:t>
      </w:r>
      <w:r w:rsidR="00EB2A8C" w:rsidRPr="00DF686C">
        <w:t xml:space="preserve"> at any point in the history</w:t>
      </w:r>
      <w:r w:rsidR="0058236A" w:rsidRPr="00DF686C">
        <w:t xml:space="preserve">, </w:t>
      </w:r>
      <w:r w:rsidR="00EB2A8C" w:rsidRPr="00DF686C">
        <w:t xml:space="preserve">genesis </w:t>
      </w:r>
      <w:r w:rsidR="0058236A" w:rsidRPr="00DF686C">
        <w:t xml:space="preserve">or evolution </w:t>
      </w:r>
      <w:r w:rsidR="00EB2A8C" w:rsidRPr="00DF686C">
        <w:t xml:space="preserve">of its jurisprudence, to justify that a human rights based approach to disability inclusion should </w:t>
      </w:r>
      <w:r w:rsidR="00122E45" w:rsidRPr="00DF686C">
        <w:t>‘</w:t>
      </w:r>
      <w:r w:rsidR="00EB2A8C" w:rsidRPr="00DF686C">
        <w:rPr>
          <w:i/>
          <w:iCs/>
        </w:rPr>
        <w:t>protect equally the rights of those receiving and providing care.…</w:t>
      </w:r>
      <w:r w:rsidR="00122E45" w:rsidRPr="00DF686C">
        <w:t>’</w:t>
      </w:r>
      <w:r w:rsidR="00EB2A8C" w:rsidRPr="00DF686C">
        <w:t>.</w:t>
      </w:r>
      <w:r w:rsidR="0077300B" w:rsidRPr="00DF686C">
        <w:t xml:space="preserve"> </w:t>
      </w:r>
      <w:r w:rsidR="00130DBF" w:rsidRPr="00DF686C">
        <w:t xml:space="preserve"> </w:t>
      </w:r>
      <w:r w:rsidR="0077300B" w:rsidRPr="00DF686C">
        <w:t xml:space="preserve">We need not reinvent this debate, taking us regressively back to the opening of the new millennia, when such debates were ongoing in the drafting of the Convention, with a push from different kinds of </w:t>
      </w:r>
      <w:r w:rsidRPr="00DF686C">
        <w:t xml:space="preserve">governments and </w:t>
      </w:r>
      <w:r w:rsidR="0077300B" w:rsidRPr="00DF686C">
        <w:t xml:space="preserve">service providers.  </w:t>
      </w:r>
      <w:r w:rsidR="005E5728" w:rsidRPr="00DF686C">
        <w:t xml:space="preserve">TCI is concerned that the years of work and struggles by the disability rights movement would be compromised, diluted and diminished if </w:t>
      </w:r>
      <w:r w:rsidRPr="00DF686C">
        <w:t xml:space="preserve">‘governmentality’ </w:t>
      </w:r>
      <w:r w:rsidR="00130DBF" w:rsidRPr="00DF686C">
        <w:t>and</w:t>
      </w:r>
      <w:r w:rsidRPr="00DF686C">
        <w:t xml:space="preserve"> </w:t>
      </w:r>
      <w:r w:rsidR="005E5728" w:rsidRPr="00DF686C">
        <w:t>a service provider perspective is brought in to compete with the arena of human rights, very specifically built around the centrality of voices</w:t>
      </w:r>
      <w:r w:rsidRPr="00DF686C">
        <w:t>, will and preferences</w:t>
      </w:r>
      <w:r w:rsidR="005E5728" w:rsidRPr="00DF686C">
        <w:t xml:space="preserve"> of persons with disabilities. </w:t>
      </w:r>
      <w:r w:rsidR="00130DBF" w:rsidRPr="00DF686C">
        <w:t xml:space="preserve"> Persons with psychosocial disabilities have been subjected historically to violence from the care providers.</w:t>
      </w:r>
    </w:p>
    <w:p w14:paraId="28866FE3" w14:textId="4ADF97A4" w:rsidR="00EB2A8C" w:rsidRPr="00DF686C" w:rsidRDefault="00AA018A" w:rsidP="005E5728">
      <w:pPr>
        <w:jc w:val="both"/>
      </w:pPr>
      <w:r w:rsidRPr="00DF686C">
        <w:t xml:space="preserve">While the mandate was to produce excellent reports on support systems, with good practices and all, the report sets up an old dynamic in its place: </w:t>
      </w:r>
      <w:r w:rsidR="00EB2A8C" w:rsidRPr="00DF686C">
        <w:t>The philosophical debate on the ethics of rights versus the ethics of care is a</w:t>
      </w:r>
      <w:r w:rsidR="0077300B" w:rsidRPr="00DF686C">
        <w:t>t</w:t>
      </w:r>
      <w:r w:rsidR="00A11C36" w:rsidRPr="00DF686C">
        <w:t xml:space="preserve"> </w:t>
      </w:r>
      <w:r w:rsidR="0077300B" w:rsidRPr="00DF686C">
        <w:t xml:space="preserve">least </w:t>
      </w:r>
      <w:r w:rsidRPr="00DF686C">
        <w:t>3</w:t>
      </w:r>
      <w:r w:rsidR="0077300B" w:rsidRPr="00DF686C">
        <w:t xml:space="preserve"> decades old</w:t>
      </w:r>
      <w:r w:rsidR="005E5728" w:rsidRPr="00DF686C">
        <w:t>, if not older</w:t>
      </w:r>
      <w:r w:rsidR="00EB2A8C" w:rsidRPr="00DF686C">
        <w:t xml:space="preserve">. The women’s movement and other eminent philosophers, particularly Martha Nussbaum, have brought forward ideas that cut through the polarization between care and rights. </w:t>
      </w:r>
      <w:r w:rsidR="005E5728" w:rsidRPr="00DF686C">
        <w:t xml:space="preserve">This report does not enlighten us </w:t>
      </w:r>
      <w:r w:rsidR="00AB278C" w:rsidRPr="00DF686C">
        <w:t>working from with</w:t>
      </w:r>
      <w:r w:rsidR="005E5728" w:rsidRPr="00DF686C">
        <w:t xml:space="preserve">in the disability </w:t>
      </w:r>
      <w:r w:rsidR="00AB278C" w:rsidRPr="00DF686C">
        <w:t xml:space="preserve">rights </w:t>
      </w:r>
      <w:r w:rsidR="005E5728" w:rsidRPr="00DF686C">
        <w:t>movement, how this debate has been resolved in a CRPD compliant way.  Cutting through this debate in another way, i</w:t>
      </w:r>
      <w:r w:rsidR="006C0187" w:rsidRPr="00DF686C">
        <w:t xml:space="preserve">n the drafting of the CRPD, as evidenced from the daily archives, concepts used have been </w:t>
      </w:r>
      <w:r w:rsidR="0077300B" w:rsidRPr="00DF686C">
        <w:t>‘accommodation</w:t>
      </w:r>
      <w:r w:rsidR="007E4362" w:rsidRPr="00DF686C">
        <w:t>s</w:t>
      </w:r>
      <w:r w:rsidR="0077300B" w:rsidRPr="00DF686C">
        <w:t xml:space="preserve">’, </w:t>
      </w:r>
      <w:r w:rsidR="006C0187" w:rsidRPr="00DF686C">
        <w:t>‘assistance’ and ‘support’</w:t>
      </w:r>
      <w:r w:rsidR="005E5728" w:rsidRPr="00DF686C">
        <w:t>;</w:t>
      </w:r>
      <w:r w:rsidR="006C0187" w:rsidRPr="00DF686C">
        <w:t xml:space="preserve"> and not ‘care’. </w:t>
      </w:r>
      <w:r w:rsidRPr="00DF686C">
        <w:t xml:space="preserve">The text of the CRPD resonates, in almost every article, with guidance on ‘support’. </w:t>
      </w:r>
      <w:r w:rsidR="006C0187" w:rsidRPr="00DF686C">
        <w:t xml:space="preserve">TCI, in responding </w:t>
      </w:r>
      <w:r w:rsidR="005E5728" w:rsidRPr="00DF686C">
        <w:t xml:space="preserve">with censure, </w:t>
      </w:r>
      <w:r w:rsidR="006C0187" w:rsidRPr="00DF686C">
        <w:t>to this report, confirms that with the changed objectives set out at the beginning of the report</w:t>
      </w:r>
      <w:r w:rsidR="0077300B" w:rsidRPr="00DF686C">
        <w:t xml:space="preserve">, </w:t>
      </w:r>
      <w:r w:rsidR="006C0187" w:rsidRPr="00DF686C">
        <w:t xml:space="preserve">the very entry of the concept of care, </w:t>
      </w:r>
      <w:r w:rsidR="0077300B" w:rsidRPr="00DF686C">
        <w:t xml:space="preserve">its </w:t>
      </w:r>
      <w:r w:rsidR="005E5728" w:rsidRPr="00DF686C">
        <w:t xml:space="preserve">privileged </w:t>
      </w:r>
      <w:r w:rsidR="0077300B" w:rsidRPr="00DF686C">
        <w:t>juxtaposition against</w:t>
      </w:r>
      <w:r w:rsidR="0077300B" w:rsidRPr="00DF686C">
        <w:rPr>
          <w:i/>
          <w:iCs/>
        </w:rPr>
        <w:t xml:space="preserve"> </w:t>
      </w:r>
      <w:r w:rsidR="0077300B" w:rsidRPr="00DF686C">
        <w:t xml:space="preserve">support, </w:t>
      </w:r>
      <w:r w:rsidR="005E5728" w:rsidRPr="00DF686C">
        <w:t xml:space="preserve">the mixing of interests between ‘care giver and the care receiver’ within a human rights discourse for disability inclusion, </w:t>
      </w:r>
      <w:r w:rsidR="006C0187" w:rsidRPr="00DF686C">
        <w:t xml:space="preserve">the document has brought in elements of paternalism, </w:t>
      </w:r>
      <w:r w:rsidR="005E5728" w:rsidRPr="00DF686C">
        <w:t xml:space="preserve">the huge risk of </w:t>
      </w:r>
      <w:r w:rsidRPr="00DF686C">
        <w:t xml:space="preserve">majoritarianism, governmentality and succumbing to </w:t>
      </w:r>
      <w:r w:rsidR="005E5728" w:rsidRPr="00DF686C">
        <w:t>service provider interests</w:t>
      </w:r>
      <w:r w:rsidRPr="00DF686C">
        <w:t xml:space="preserve">, </w:t>
      </w:r>
      <w:r w:rsidR="006C0187" w:rsidRPr="00DF686C">
        <w:t>diminishing the voices of persons with disabilities</w:t>
      </w:r>
      <w:r w:rsidR="005E5728" w:rsidRPr="00DF686C">
        <w:t>,</w:t>
      </w:r>
      <w:r w:rsidR="0077300B" w:rsidRPr="00DF686C">
        <w:t xml:space="preserve"> throughout the text. </w:t>
      </w:r>
      <w:r w:rsidR="00594A3D" w:rsidRPr="00DF686C">
        <w:t xml:space="preserve"> Considering the decades of violence by service providers, particularly institution </w:t>
      </w:r>
      <w:r w:rsidR="00594A3D" w:rsidRPr="00DF686C">
        <w:lastRenderedPageBreak/>
        <w:t xml:space="preserve">based ones, against persons with psychosocial disabilities, this particular formulation on ‘care’ is fearful and intimidating. </w:t>
      </w:r>
    </w:p>
    <w:p w14:paraId="74E1E8E3" w14:textId="08727E34" w:rsidR="007E4362" w:rsidRPr="00DF686C" w:rsidRDefault="007E4362" w:rsidP="005E5728">
      <w:pPr>
        <w:jc w:val="both"/>
      </w:pPr>
      <w:r w:rsidRPr="00DF686C">
        <w:t xml:space="preserve">The report notes that </w:t>
      </w:r>
      <w:r w:rsidR="00122E45" w:rsidRPr="00DF686C">
        <w:t>‘</w:t>
      </w:r>
      <w:r w:rsidRPr="00DF686C">
        <w:t>Care is relational</w:t>
      </w:r>
      <w:r w:rsidR="00122E45" w:rsidRPr="00DF686C">
        <w:t>’</w:t>
      </w:r>
      <w:r w:rsidRPr="00DF686C">
        <w:t xml:space="preserve"> and that </w:t>
      </w:r>
      <w:r w:rsidR="00122E45" w:rsidRPr="00DF686C">
        <w:t>‘</w:t>
      </w:r>
      <w:r w:rsidRPr="00DF686C">
        <w:t>the rights of caregivers and care receivers are inextricably linked</w:t>
      </w:r>
      <w:r w:rsidR="00122E45" w:rsidRPr="00DF686C">
        <w:t>’</w:t>
      </w:r>
      <w:r w:rsidRPr="00DF686C">
        <w:t xml:space="preserve">. There is a cost of care </w:t>
      </w:r>
      <w:r w:rsidR="00AA018A" w:rsidRPr="00DF686C">
        <w:t xml:space="preserve">issue </w:t>
      </w:r>
      <w:r w:rsidRPr="00DF686C">
        <w:t>that the report addresses quite comprehensively, bringing the topic of care within labour laws and economic rights.</w:t>
      </w:r>
      <w:r w:rsidR="00EF4231" w:rsidRPr="00DF686C">
        <w:t xml:space="preserve"> </w:t>
      </w:r>
      <w:r w:rsidRPr="00DF686C">
        <w:t xml:space="preserve"> However, the CRPD exists in order to buffer against the </w:t>
      </w:r>
      <w:r w:rsidR="00AA018A" w:rsidRPr="00DF686C">
        <w:t xml:space="preserve">whimsical nature of ‘care’ and the </w:t>
      </w:r>
      <w:r w:rsidRPr="00DF686C">
        <w:t xml:space="preserve">vicissitudes of receiving support in ‘relational’ contexts: The social environment around a person with a disability, including families, extended families and neighbourhoods, is often uncaring, inhuman, the </w:t>
      </w:r>
      <w:r w:rsidR="00EF4231" w:rsidRPr="00DF686C">
        <w:t xml:space="preserve">economic and other </w:t>
      </w:r>
      <w:r w:rsidRPr="00DF686C">
        <w:t>reasons notwithstanding. The ‘care’ services end up providing substandard, inhuman, cruel and torturous treatments,</w:t>
      </w:r>
      <w:r w:rsidR="00613393" w:rsidRPr="00DF686C">
        <w:t xml:space="preserve"> including forced</w:t>
      </w:r>
      <w:r w:rsidR="00EF4231" w:rsidRPr="00DF686C">
        <w:t xml:space="preserve"> treatments and</w:t>
      </w:r>
      <w:r w:rsidR="00613393" w:rsidRPr="00DF686C">
        <w:t xml:space="preserve"> institutionalization,</w:t>
      </w:r>
      <w:r w:rsidRPr="00DF686C">
        <w:t xml:space="preserve"> especially for persons with </w:t>
      </w:r>
      <w:r w:rsidR="00EF4231" w:rsidRPr="00DF686C">
        <w:t xml:space="preserve">mental, intellectual and </w:t>
      </w:r>
      <w:r w:rsidRPr="00DF686C">
        <w:t xml:space="preserve">psychosocial disabilities. </w:t>
      </w:r>
      <w:r w:rsidR="00EF4231" w:rsidRPr="00DF686C">
        <w:t xml:space="preserve"> Surprisingly, the report makes no mention of the ‘care’ services, the political economy of such services, </w:t>
      </w:r>
      <w:r w:rsidR="00AA018A" w:rsidRPr="00DF686C">
        <w:t xml:space="preserve">privatisation of care </w:t>
      </w:r>
      <w:r w:rsidR="00EF4231" w:rsidRPr="00DF686C">
        <w:t>and the human rights violations perpetrated by them.  The power asymmetry between care providers and care receivers, and the biomedical dominance, has been the focus of several UN reports, particularly by leaving Special rapporteurs (Disabilities and Health)</w:t>
      </w:r>
      <w:r w:rsidR="00AA018A" w:rsidRPr="00DF686C">
        <w:t xml:space="preserve"> and 2 Mental health and human rights resolutions</w:t>
      </w:r>
      <w:r w:rsidR="00EF4231" w:rsidRPr="00DF686C">
        <w:t xml:space="preserve">. Therefore to say that </w:t>
      </w:r>
      <w:r w:rsidR="00122E45" w:rsidRPr="00DF686C">
        <w:t>‘</w:t>
      </w:r>
      <w:r w:rsidR="00EF4231" w:rsidRPr="00DF686C">
        <w:t>A rights-based approach … is needed to harmonize multiple perspectives</w:t>
      </w:r>
      <w:r w:rsidR="00122E45" w:rsidRPr="00DF686C">
        <w:t>’</w:t>
      </w:r>
      <w:r w:rsidR="00EF4231" w:rsidRPr="00DF686C">
        <w:t xml:space="preserve"> is not acceptable, as the CRPD exists to remedy this power imbalance</w:t>
      </w:r>
      <w:r w:rsidR="00594A3D" w:rsidRPr="00DF686C">
        <w:t>;</w:t>
      </w:r>
      <w:r w:rsidR="00EF4231" w:rsidRPr="00DF686C">
        <w:t xml:space="preserve"> and not to </w:t>
      </w:r>
      <w:r w:rsidR="00122E45" w:rsidRPr="00DF686C">
        <w:t>‘</w:t>
      </w:r>
      <w:r w:rsidR="00EF4231" w:rsidRPr="00DF686C">
        <w:t>structure the co-responsibilities that respects the rights of all those involved</w:t>
      </w:r>
      <w:r w:rsidR="00122E45" w:rsidRPr="00DF686C">
        <w:t>’</w:t>
      </w:r>
      <w:r w:rsidR="00EF4231" w:rsidRPr="00DF686C">
        <w:t>. To take this approach of averaging out human rights has proved to be deleterious to the health and well being of persons with mental, intellectual and psychosocial disabilities, as care providers have</w:t>
      </w:r>
      <w:r w:rsidR="00351FBC" w:rsidRPr="00DF686C">
        <w:t xml:space="preserve">, in the name of </w:t>
      </w:r>
      <w:r w:rsidR="00122E45" w:rsidRPr="00DF686C">
        <w:t>‘</w:t>
      </w:r>
      <w:r w:rsidR="00351FBC" w:rsidRPr="00DF686C">
        <w:t>harmonizing multiple perspectives</w:t>
      </w:r>
      <w:r w:rsidR="00122E45" w:rsidRPr="00DF686C">
        <w:t>’</w:t>
      </w:r>
      <w:r w:rsidR="00351FBC" w:rsidRPr="00DF686C">
        <w:t xml:space="preserve"> since long, silenced our interests and our voices by devising a variety of attributions of incapacity</w:t>
      </w:r>
      <w:r w:rsidR="00AA018A" w:rsidRPr="00DF686C">
        <w:t>, acting as our proxies</w:t>
      </w:r>
      <w:r w:rsidR="00594A3D" w:rsidRPr="00DF686C">
        <w:t xml:space="preserve"> and guardians</w:t>
      </w:r>
      <w:r w:rsidR="00351FBC" w:rsidRPr="00DF686C">
        <w:t>.</w:t>
      </w:r>
    </w:p>
    <w:p w14:paraId="2B522CBA" w14:textId="174AECAB" w:rsidR="00594A3D" w:rsidRPr="00DF686C" w:rsidRDefault="00594A3D" w:rsidP="005E5728">
      <w:pPr>
        <w:jc w:val="both"/>
      </w:pPr>
      <w:r w:rsidRPr="00DF686C">
        <w:t xml:space="preserve">The report is quite sparse in its use of extant UN and other available resources on support systems. The ‘Guidelines on De-institutionalization, including during emergencies’ adopted last year, with very elaborate guidance on community support systems and services, has not been referenced, nor the many documents pertaining to mental health and human rights resolutions.  Various OPD and INGO reports on community inclusion, such as by Inclusion International, International Disability Alliance, among others, have not been referenced. There has been no culture of participatory (Article 4.3) in the making of this report, despite the specific mandate on consultations with primary rights holders.  Transforming Communities for Inclusion (TCI), the largest representative voice of persons with psychosocial disabilities was not aware, nor invited, into this process.  </w:t>
      </w:r>
      <w:r w:rsidR="005A55D1" w:rsidRPr="00DF686C">
        <w:t xml:space="preserve"> </w:t>
      </w:r>
    </w:p>
    <w:p w14:paraId="342218D7" w14:textId="6784110B" w:rsidR="005A55D1" w:rsidRDefault="005A55D1" w:rsidP="005E5728">
      <w:pPr>
        <w:jc w:val="both"/>
      </w:pPr>
      <w:r w:rsidRPr="00DF686C">
        <w:t>Thank you!</w:t>
      </w:r>
    </w:p>
    <w:p w14:paraId="0B7C0AC8" w14:textId="034D2FDA" w:rsidR="00354F66" w:rsidRDefault="00354F66"/>
    <w:p w14:paraId="1A2CB126" w14:textId="3F94AE29" w:rsidR="00AB278C" w:rsidRDefault="00AB278C"/>
    <w:sectPr w:rsidR="00AB278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4657" w14:textId="77777777" w:rsidR="00444CFC" w:rsidRDefault="00444CFC" w:rsidP="00586CCC">
      <w:pPr>
        <w:spacing w:after="0" w:line="240" w:lineRule="auto"/>
      </w:pPr>
      <w:r>
        <w:separator/>
      </w:r>
    </w:p>
  </w:endnote>
  <w:endnote w:type="continuationSeparator" w:id="0">
    <w:p w14:paraId="0E06AC42" w14:textId="77777777" w:rsidR="00444CFC" w:rsidRDefault="00444CFC" w:rsidP="0058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933031"/>
      <w:docPartObj>
        <w:docPartGallery w:val="Page Numbers (Bottom of Page)"/>
        <w:docPartUnique/>
      </w:docPartObj>
    </w:sdtPr>
    <w:sdtEndPr>
      <w:rPr>
        <w:noProof/>
      </w:rPr>
    </w:sdtEndPr>
    <w:sdtContent>
      <w:p w14:paraId="38C8A03D" w14:textId="45BD81B4" w:rsidR="00AF54D3" w:rsidRDefault="00AF54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FD9C71" w14:textId="77777777" w:rsidR="00AF54D3" w:rsidRDefault="00AF5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46E9C" w14:textId="77777777" w:rsidR="00444CFC" w:rsidRDefault="00444CFC" w:rsidP="00586CCC">
      <w:pPr>
        <w:spacing w:after="0" w:line="240" w:lineRule="auto"/>
      </w:pPr>
      <w:r>
        <w:separator/>
      </w:r>
    </w:p>
  </w:footnote>
  <w:footnote w:type="continuationSeparator" w:id="0">
    <w:p w14:paraId="4D2C3616" w14:textId="77777777" w:rsidR="00444CFC" w:rsidRDefault="00444CFC" w:rsidP="00586CCC">
      <w:pPr>
        <w:spacing w:after="0" w:line="240" w:lineRule="auto"/>
      </w:pPr>
      <w:r>
        <w:continuationSeparator/>
      </w:r>
    </w:p>
  </w:footnote>
  <w:footnote w:id="1">
    <w:p w14:paraId="78AE2273" w14:textId="3080F2F3" w:rsidR="009B12BE" w:rsidRDefault="009B12BE">
      <w:pPr>
        <w:pStyle w:val="FootnoteText"/>
      </w:pPr>
      <w:r>
        <w:rPr>
          <w:rStyle w:val="FootnoteReference"/>
        </w:rPr>
        <w:footnoteRef/>
      </w:r>
      <w:r>
        <w:t xml:space="preserve"> A/HRC/52/52 </w:t>
      </w:r>
      <w:r w:rsidR="00122E45">
        <w:t>‘</w:t>
      </w:r>
      <w:r w:rsidRPr="00533C29">
        <w:t xml:space="preserve">Support systems to ensure community inclusion of persons with disabilities, including as a means of building forward better after the </w:t>
      </w:r>
      <w:r>
        <w:t>coronavirus disease (</w:t>
      </w:r>
      <w:r w:rsidRPr="00533C29">
        <w:t>COVID-19</w:t>
      </w:r>
      <w:r>
        <w:t>)</w:t>
      </w:r>
      <w:r w:rsidRPr="00533C29">
        <w:t xml:space="preserve"> pandemic</w:t>
      </w:r>
      <w:r w:rsidR="00122E45">
        <w:t>’</w:t>
      </w:r>
      <w:r>
        <w:t>. Advanced Edited Version, adopted in the 52</w:t>
      </w:r>
      <w:r w:rsidRPr="009B12BE">
        <w:rPr>
          <w:vertAlign w:val="superscript"/>
        </w:rPr>
        <w:t>nd</w:t>
      </w:r>
      <w:r>
        <w:t xml:space="preserve"> Session of the Human Rights Council.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F5"/>
    <w:rsid w:val="00017A8F"/>
    <w:rsid w:val="00022456"/>
    <w:rsid w:val="000365AE"/>
    <w:rsid w:val="00036B0E"/>
    <w:rsid w:val="00070668"/>
    <w:rsid w:val="000762EE"/>
    <w:rsid w:val="000975F0"/>
    <w:rsid w:val="00106F21"/>
    <w:rsid w:val="00112374"/>
    <w:rsid w:val="00122E45"/>
    <w:rsid w:val="00130DBF"/>
    <w:rsid w:val="001345CF"/>
    <w:rsid w:val="00161AF1"/>
    <w:rsid w:val="00186C20"/>
    <w:rsid w:val="001B17BA"/>
    <w:rsid w:val="001B496F"/>
    <w:rsid w:val="001B4D0F"/>
    <w:rsid w:val="001F4800"/>
    <w:rsid w:val="00215B41"/>
    <w:rsid w:val="00253F2F"/>
    <w:rsid w:val="002A525A"/>
    <w:rsid w:val="002A7A32"/>
    <w:rsid w:val="002F7CFE"/>
    <w:rsid w:val="003031BF"/>
    <w:rsid w:val="003326FC"/>
    <w:rsid w:val="00345148"/>
    <w:rsid w:val="00351FBC"/>
    <w:rsid w:val="00354F66"/>
    <w:rsid w:val="00385E98"/>
    <w:rsid w:val="00387177"/>
    <w:rsid w:val="003D4888"/>
    <w:rsid w:val="003F5246"/>
    <w:rsid w:val="003F7132"/>
    <w:rsid w:val="00402CAB"/>
    <w:rsid w:val="00405413"/>
    <w:rsid w:val="00417D69"/>
    <w:rsid w:val="00430396"/>
    <w:rsid w:val="004324A2"/>
    <w:rsid w:val="00444CFC"/>
    <w:rsid w:val="00475016"/>
    <w:rsid w:val="004B45B4"/>
    <w:rsid w:val="004B67DC"/>
    <w:rsid w:val="004C70B6"/>
    <w:rsid w:val="004D788A"/>
    <w:rsid w:val="004F63C5"/>
    <w:rsid w:val="0051335C"/>
    <w:rsid w:val="00530017"/>
    <w:rsid w:val="0053546D"/>
    <w:rsid w:val="00551328"/>
    <w:rsid w:val="0055685D"/>
    <w:rsid w:val="0058236A"/>
    <w:rsid w:val="00586CCC"/>
    <w:rsid w:val="00594A3D"/>
    <w:rsid w:val="00594C34"/>
    <w:rsid w:val="005A55D1"/>
    <w:rsid w:val="005A6775"/>
    <w:rsid w:val="005E5728"/>
    <w:rsid w:val="00607835"/>
    <w:rsid w:val="00613393"/>
    <w:rsid w:val="006438DE"/>
    <w:rsid w:val="0065100F"/>
    <w:rsid w:val="00677B6D"/>
    <w:rsid w:val="00686EC5"/>
    <w:rsid w:val="00695AA8"/>
    <w:rsid w:val="006A5437"/>
    <w:rsid w:val="006B0E3A"/>
    <w:rsid w:val="006C0187"/>
    <w:rsid w:val="006D485D"/>
    <w:rsid w:val="00715410"/>
    <w:rsid w:val="007261C8"/>
    <w:rsid w:val="0077300B"/>
    <w:rsid w:val="007A530B"/>
    <w:rsid w:val="007B06FC"/>
    <w:rsid w:val="007D6C46"/>
    <w:rsid w:val="007E4362"/>
    <w:rsid w:val="007F09F9"/>
    <w:rsid w:val="007F2DC5"/>
    <w:rsid w:val="00805622"/>
    <w:rsid w:val="008113F9"/>
    <w:rsid w:val="0085366B"/>
    <w:rsid w:val="0088046E"/>
    <w:rsid w:val="008A5A5E"/>
    <w:rsid w:val="008F0D82"/>
    <w:rsid w:val="008F2C4F"/>
    <w:rsid w:val="00914BCC"/>
    <w:rsid w:val="009178DA"/>
    <w:rsid w:val="009229DB"/>
    <w:rsid w:val="009B12BE"/>
    <w:rsid w:val="009B1569"/>
    <w:rsid w:val="009B6F43"/>
    <w:rsid w:val="009C22C0"/>
    <w:rsid w:val="00A11C36"/>
    <w:rsid w:val="00AA018A"/>
    <w:rsid w:val="00AB278C"/>
    <w:rsid w:val="00AF4D7C"/>
    <w:rsid w:val="00AF54D3"/>
    <w:rsid w:val="00B05C7F"/>
    <w:rsid w:val="00B2728D"/>
    <w:rsid w:val="00B3629C"/>
    <w:rsid w:val="00B52C12"/>
    <w:rsid w:val="00B54118"/>
    <w:rsid w:val="00B56EF5"/>
    <w:rsid w:val="00BB1D0E"/>
    <w:rsid w:val="00BC17C4"/>
    <w:rsid w:val="00BD543F"/>
    <w:rsid w:val="00BE7696"/>
    <w:rsid w:val="00BF20AB"/>
    <w:rsid w:val="00BF6170"/>
    <w:rsid w:val="00C02C88"/>
    <w:rsid w:val="00C24E74"/>
    <w:rsid w:val="00C2536D"/>
    <w:rsid w:val="00C27FA0"/>
    <w:rsid w:val="00CC0F54"/>
    <w:rsid w:val="00CC3828"/>
    <w:rsid w:val="00D00AA7"/>
    <w:rsid w:val="00D05E6E"/>
    <w:rsid w:val="00D4034F"/>
    <w:rsid w:val="00D97D73"/>
    <w:rsid w:val="00DC3DD5"/>
    <w:rsid w:val="00DD40D2"/>
    <w:rsid w:val="00DF686C"/>
    <w:rsid w:val="00E10932"/>
    <w:rsid w:val="00E51CA4"/>
    <w:rsid w:val="00E646A6"/>
    <w:rsid w:val="00E936B7"/>
    <w:rsid w:val="00EA45D4"/>
    <w:rsid w:val="00EA4D37"/>
    <w:rsid w:val="00EB2A8C"/>
    <w:rsid w:val="00EB4591"/>
    <w:rsid w:val="00EB710A"/>
    <w:rsid w:val="00EE2675"/>
    <w:rsid w:val="00EF4231"/>
    <w:rsid w:val="00EF6D51"/>
    <w:rsid w:val="00F3428C"/>
    <w:rsid w:val="00F651CD"/>
    <w:rsid w:val="00FE3404"/>
    <w:rsid w:val="00FF39A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E7E6"/>
  <w15:chartTrackingRefBased/>
  <w15:docId w15:val="{D0380159-6443-4909-9517-1340FC98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54F66"/>
    <w:rPr>
      <w:sz w:val="16"/>
      <w:szCs w:val="16"/>
    </w:rPr>
  </w:style>
  <w:style w:type="paragraph" w:styleId="CommentText">
    <w:name w:val="annotation text"/>
    <w:basedOn w:val="Normal"/>
    <w:link w:val="CommentTextChar"/>
    <w:unhideWhenUsed/>
    <w:rsid w:val="00354F66"/>
    <w:pPr>
      <w:suppressAutoHyphens/>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354F66"/>
    <w:rPr>
      <w:rFonts w:ascii="Times New Roman" w:eastAsia="Times New Roman" w:hAnsi="Times New Roman" w:cs="Times New Roman"/>
      <w:sz w:val="20"/>
      <w:szCs w:val="20"/>
      <w:lang w:val="en-GB"/>
    </w:rPr>
  </w:style>
  <w:style w:type="paragraph" w:styleId="FootnoteText">
    <w:name w:val="footnote text"/>
    <w:aliases w:val="5_G"/>
    <w:basedOn w:val="Normal"/>
    <w:link w:val="FootnoteTextChar"/>
    <w:unhideWhenUsed/>
    <w:qFormat/>
    <w:rsid w:val="00586CCC"/>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semiHidden/>
    <w:rsid w:val="00586CCC"/>
    <w:rPr>
      <w:sz w:val="20"/>
      <w:szCs w:val="20"/>
    </w:rPr>
  </w:style>
  <w:style w:type="character" w:styleId="FootnoteReference">
    <w:name w:val="footnote reference"/>
    <w:aliases w:val="4_G"/>
    <w:basedOn w:val="DefaultParagraphFont"/>
    <w:unhideWhenUsed/>
    <w:qFormat/>
    <w:rsid w:val="00586CCC"/>
    <w:rPr>
      <w:vertAlign w:val="superscript"/>
    </w:rPr>
  </w:style>
  <w:style w:type="paragraph" w:customStyle="1" w:styleId="SingleTxtG">
    <w:name w:val="_ Single Txt_G"/>
    <w:basedOn w:val="Normal"/>
    <w:qFormat/>
    <w:rsid w:val="00EE2675"/>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AF5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D3"/>
  </w:style>
  <w:style w:type="paragraph" w:styleId="Footer">
    <w:name w:val="footer"/>
    <w:basedOn w:val="Normal"/>
    <w:link w:val="FooterChar"/>
    <w:uiPriority w:val="99"/>
    <w:unhideWhenUsed/>
    <w:rsid w:val="00AF5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D3"/>
  </w:style>
  <w:style w:type="paragraph" w:customStyle="1" w:styleId="HChG">
    <w:name w:val="_ H _Ch_G"/>
    <w:basedOn w:val="Normal"/>
    <w:next w:val="Normal"/>
    <w:qFormat/>
    <w:rsid w:val="00AF54D3"/>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7377E-221F-419C-9809-AAC9A4168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Bhargavi Davar</dc:creator>
  <cp:keywords/>
  <dc:description/>
  <cp:lastModifiedBy>Tina Minkowitz</cp:lastModifiedBy>
  <cp:revision>3</cp:revision>
  <dcterms:created xsi:type="dcterms:W3CDTF">2025-11-07T17:30:00Z</dcterms:created>
  <dcterms:modified xsi:type="dcterms:W3CDTF">2025-11-07T17:31:00Z</dcterms:modified>
</cp:coreProperties>
</file>