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B29D63" w14:textId="77777777" w:rsidR="001C1A47" w:rsidRDefault="001C1A47">
      <w:pPr>
        <w:spacing w:after="160" w:line="278" w:lineRule="auto"/>
        <w:rPr>
          <w:rFonts w:ascii="Calibri" w:eastAsia="Calibri" w:hAnsi="Calibri" w:cs="Calibri"/>
          <w:b/>
          <w:bCs/>
        </w:rPr>
      </w:pPr>
    </w:p>
    <w:p w14:paraId="184C9FEE" w14:textId="77777777" w:rsidR="001C1A47" w:rsidRPr="008B7903" w:rsidRDefault="00000000" w:rsidP="008B7903">
      <w:pPr>
        <w:rPr>
          <w:rFonts w:ascii="Calibri" w:eastAsia="Calibri" w:hAnsi="Calibri" w:cs="Calibri"/>
          <w:b/>
          <w:bCs/>
          <w:sz w:val="28"/>
          <w:szCs w:val="28"/>
        </w:rPr>
      </w:pPr>
      <w:r w:rsidRPr="008B7903">
        <w:rPr>
          <w:rFonts w:ascii="Calibri" w:eastAsia="Calibri" w:hAnsi="Calibri" w:cs="Calibri"/>
          <w:b/>
          <w:bCs/>
          <w:sz w:val="28"/>
          <w:szCs w:val="28"/>
        </w:rPr>
        <w:t>The Role of Intermediaries Within a CRPD Article 12 Framework</w:t>
      </w:r>
    </w:p>
    <w:p w14:paraId="4EA03372" w14:textId="77777777" w:rsidR="001C1A47" w:rsidRPr="008B7903" w:rsidRDefault="00000000" w:rsidP="008B7903">
      <w:pPr>
        <w:rPr>
          <w:rFonts w:ascii="Calibri" w:eastAsia="Calibri" w:hAnsi="Calibri" w:cs="Calibri"/>
          <w:b/>
          <w:bCs/>
          <w:sz w:val="28"/>
          <w:szCs w:val="28"/>
        </w:rPr>
      </w:pPr>
      <w:r w:rsidRPr="008B7903">
        <w:rPr>
          <w:rFonts w:ascii="Calibri" w:eastAsia="Calibri" w:hAnsi="Calibri" w:cs="Calibri"/>
          <w:b/>
          <w:bCs/>
          <w:sz w:val="28"/>
          <w:szCs w:val="28"/>
        </w:rPr>
        <w:t>Tina Minkowitz and Timothy Fish Hodgson</w:t>
      </w:r>
    </w:p>
    <w:p w14:paraId="72E268EA" w14:textId="77777777" w:rsidR="001C1A47" w:rsidRPr="008B7903" w:rsidRDefault="001C1A47" w:rsidP="008B7903">
      <w:pPr>
        <w:spacing w:line="278" w:lineRule="auto"/>
        <w:rPr>
          <w:rFonts w:ascii="Calibri" w:eastAsia="Calibri" w:hAnsi="Calibri" w:cs="Calibri"/>
          <w:b/>
          <w:bCs/>
          <w:sz w:val="28"/>
          <w:szCs w:val="28"/>
        </w:rPr>
      </w:pPr>
    </w:p>
    <w:p w14:paraId="72DFC44D" w14:textId="77777777" w:rsidR="001C1A47" w:rsidRDefault="001C1A47">
      <w:pPr>
        <w:spacing w:line="278" w:lineRule="auto"/>
        <w:ind w:left="720" w:hanging="360"/>
        <w:jc w:val="center"/>
        <w:rPr>
          <w:rFonts w:ascii="Calibri" w:eastAsia="Calibri" w:hAnsi="Calibri" w:cs="Calibri"/>
          <w:b/>
          <w:bCs/>
        </w:rPr>
      </w:pPr>
    </w:p>
    <w:p w14:paraId="3711E1EB" w14:textId="4C5ECBC1" w:rsidR="00DE2AD1" w:rsidRPr="00DE2AD1" w:rsidRDefault="00DE2AD1" w:rsidP="00DE2AD1">
      <w:pPr>
        <w:spacing w:line="278" w:lineRule="auto"/>
        <w:ind w:left="360"/>
        <w:rPr>
          <w:rFonts w:ascii="Calibri" w:eastAsia="Calibri" w:hAnsi="Calibri" w:cs="Calibri"/>
          <w:i/>
          <w:iCs/>
        </w:rPr>
      </w:pPr>
      <w:r>
        <w:rPr>
          <w:rFonts w:ascii="Calibri" w:eastAsia="Calibri" w:hAnsi="Calibri" w:cs="Calibri"/>
          <w:i/>
          <w:iCs/>
        </w:rPr>
        <w:t xml:space="preserve">This paper is offered to the Access to Justice Knowledge Hub, and for wide distribution, as an analysis of the legal framework of CRPD Article 12 as applied to the role of justice intermediaries.   </w:t>
      </w:r>
    </w:p>
    <w:p w14:paraId="6DBBF956" w14:textId="77777777" w:rsidR="00DE2AD1" w:rsidRDefault="00DE2AD1" w:rsidP="00DE2AD1">
      <w:pPr>
        <w:spacing w:line="278" w:lineRule="auto"/>
        <w:ind w:left="720" w:hanging="360"/>
        <w:rPr>
          <w:rFonts w:ascii="Calibri" w:eastAsia="Calibri" w:hAnsi="Calibri" w:cs="Calibri"/>
          <w:b/>
          <w:bCs/>
        </w:rPr>
      </w:pPr>
    </w:p>
    <w:p w14:paraId="0D7AC260" w14:textId="77777777" w:rsidR="001C1A47" w:rsidRDefault="00000000">
      <w:pPr>
        <w:numPr>
          <w:ilvl w:val="0"/>
          <w:numId w:val="1"/>
        </w:numPr>
        <w:spacing w:line="278" w:lineRule="auto"/>
        <w:rPr>
          <w:rFonts w:ascii="Calibri" w:eastAsia="Calibri" w:hAnsi="Calibri" w:cs="Calibri"/>
          <w:color w:val="000000"/>
        </w:rPr>
      </w:pPr>
      <w:r>
        <w:rPr>
          <w:rFonts w:ascii="Calibri" w:eastAsia="Calibri" w:hAnsi="Calibri" w:cs="Calibri"/>
        </w:rPr>
        <w:t xml:space="preserve">The role of an intermediary in legal proceedings, understood as a communication assistant assigned to work with specific individuals who have difficulty communicating or understanding information, falls under Article 12 of the CRPD as support for exercising legal capacity.  </w:t>
      </w:r>
    </w:p>
    <w:p w14:paraId="397F8EDA" w14:textId="77777777" w:rsidR="001C1A47" w:rsidRDefault="001C1A47">
      <w:pPr>
        <w:spacing w:line="278" w:lineRule="auto"/>
        <w:ind w:left="720"/>
        <w:rPr>
          <w:rFonts w:ascii="Calibri" w:eastAsia="Calibri" w:hAnsi="Calibri" w:cs="Calibri"/>
        </w:rPr>
      </w:pPr>
    </w:p>
    <w:p w14:paraId="6D9820F4" w14:textId="77777777" w:rsidR="001C1A47" w:rsidRDefault="00000000">
      <w:pPr>
        <w:numPr>
          <w:ilvl w:val="1"/>
          <w:numId w:val="1"/>
        </w:numPr>
        <w:spacing w:line="278" w:lineRule="auto"/>
        <w:rPr>
          <w:rFonts w:ascii="Calibri" w:eastAsia="Calibri" w:hAnsi="Calibri" w:cs="Calibri"/>
          <w:color w:val="000000"/>
        </w:rPr>
      </w:pPr>
      <w:r>
        <w:rPr>
          <w:rFonts w:ascii="Calibri" w:eastAsia="Calibri" w:hAnsi="Calibri" w:cs="Calibri"/>
        </w:rPr>
        <w:t>Participation in legal proceedings is an exercise of legal capacity, recognized as such in CEDAW Article 15 (an antecedent of CRPD Article 12),</w:t>
      </w:r>
      <w:r>
        <w:rPr>
          <w:rFonts w:ascii="Calibri" w:eastAsia="Calibri" w:hAnsi="Calibri" w:cs="Calibri"/>
          <w:vertAlign w:val="superscript"/>
        </w:rPr>
        <w:footnoteReference w:id="1"/>
      </w:r>
      <w:r>
        <w:rPr>
          <w:rFonts w:ascii="Calibri" w:eastAsia="Calibri" w:hAnsi="Calibri" w:cs="Calibri"/>
        </w:rPr>
        <w:t xml:space="preserve"> in CRPD General Comment No. 1,</w:t>
      </w:r>
      <w:r>
        <w:rPr>
          <w:rFonts w:ascii="Calibri" w:eastAsia="Calibri" w:hAnsi="Calibri" w:cs="Calibri"/>
          <w:vertAlign w:val="superscript"/>
        </w:rPr>
        <w:footnoteReference w:id="2"/>
      </w:r>
      <w:r>
        <w:rPr>
          <w:rFonts w:ascii="Calibri" w:eastAsia="Calibri" w:hAnsi="Calibri" w:cs="Calibri"/>
        </w:rPr>
        <w:t xml:space="preserve"> and in decisions adopted by the CRPD Committee in individual communications under the Optional Protocol.</w:t>
      </w:r>
      <w:r>
        <w:rPr>
          <w:rFonts w:ascii="Calibri" w:eastAsia="Calibri" w:hAnsi="Calibri" w:cs="Calibri"/>
          <w:vertAlign w:val="superscript"/>
        </w:rPr>
        <w:footnoteReference w:id="3"/>
      </w:r>
      <w:r>
        <w:rPr>
          <w:rFonts w:ascii="Calibri" w:eastAsia="Calibri" w:hAnsi="Calibri" w:cs="Calibri"/>
        </w:rPr>
        <w:t xml:space="preserve">  Persons with disabilities have often been denied the right to participate directly in legal proceedings as witnesses, criminal defendants, or parties to a civil lawsuit, being deemed to lack the capacity to do so.  The intermediary role is conceived as a means of enabling effective direct participation, to complement the CRPD right to participate (eliminating the possibility for courts to deny people this right).  </w:t>
      </w:r>
    </w:p>
    <w:p w14:paraId="00350FBB" w14:textId="77777777" w:rsidR="001C1A47" w:rsidRDefault="001C1A47">
      <w:pPr>
        <w:spacing w:line="278" w:lineRule="auto"/>
        <w:ind w:left="1440"/>
        <w:rPr>
          <w:rFonts w:ascii="Calibri" w:eastAsia="Calibri" w:hAnsi="Calibri" w:cs="Calibri"/>
        </w:rPr>
      </w:pPr>
    </w:p>
    <w:p w14:paraId="0EA91962" w14:textId="77777777" w:rsidR="001C1A47" w:rsidRDefault="00000000">
      <w:pPr>
        <w:numPr>
          <w:ilvl w:val="2"/>
          <w:numId w:val="1"/>
        </w:numPr>
        <w:spacing w:line="278" w:lineRule="auto"/>
        <w:rPr>
          <w:rFonts w:ascii="Calibri" w:eastAsia="Calibri" w:hAnsi="Calibri" w:cs="Calibri"/>
          <w:color w:val="000000"/>
        </w:rPr>
      </w:pPr>
      <w:r>
        <w:rPr>
          <w:rFonts w:ascii="Calibri" w:eastAsia="Calibri" w:hAnsi="Calibri" w:cs="Calibri"/>
        </w:rPr>
        <w:t>While participation in some proceedings is compulsory in the overall sense (a person cannot opt out of being a criminal defendant), making choices about participation and exercise of rights within a legal proceeding is an active role (including, for example, participating by choosing to remain silent).  It is in that sense that participation in legal proceedings is an exercise of legal capacity.</w:t>
      </w:r>
    </w:p>
    <w:p w14:paraId="083F6AAC" w14:textId="77777777" w:rsidR="001C1A47" w:rsidRDefault="001C1A47">
      <w:pPr>
        <w:spacing w:line="278" w:lineRule="auto"/>
        <w:ind w:left="2160"/>
        <w:rPr>
          <w:rFonts w:ascii="Calibri" w:eastAsia="Calibri" w:hAnsi="Calibri" w:cs="Calibri"/>
        </w:rPr>
      </w:pPr>
    </w:p>
    <w:p w14:paraId="03EBEE75" w14:textId="77777777" w:rsidR="001C1A47" w:rsidRDefault="00000000">
      <w:pPr>
        <w:numPr>
          <w:ilvl w:val="1"/>
          <w:numId w:val="1"/>
        </w:numPr>
        <w:spacing w:line="278" w:lineRule="auto"/>
        <w:rPr>
          <w:rFonts w:ascii="Calibri" w:eastAsia="Calibri" w:hAnsi="Calibri" w:cs="Calibri"/>
          <w:color w:val="000000"/>
        </w:rPr>
      </w:pPr>
      <w:r>
        <w:rPr>
          <w:rFonts w:ascii="Calibri" w:eastAsia="Calibri" w:hAnsi="Calibri" w:cs="Calibri"/>
        </w:rPr>
        <w:t>Support in exercising legal capacity can take many forms.  Communication assistance (including understanding of information as well as assistance in communicating) is among the forms of support in exercising legal capacity recognized in CRPD General Comment No. 1 and in leading national reforms in countries such as Peru, Colombia and Mexico.</w:t>
      </w:r>
      <w:r>
        <w:rPr>
          <w:rFonts w:ascii="Calibri" w:eastAsia="Calibri" w:hAnsi="Calibri" w:cs="Calibri"/>
          <w:vertAlign w:val="superscript"/>
        </w:rPr>
        <w:footnoteReference w:id="4"/>
      </w:r>
      <w:r>
        <w:rPr>
          <w:rFonts w:ascii="Calibri" w:eastAsia="Calibri" w:hAnsi="Calibri" w:cs="Calibri"/>
        </w:rPr>
        <w:t xml:space="preserve">  The CRPD Committee has called for the provision of support and accommodations in exercising legal capacity to defendants in criminal proceedings, in decisions under the Optional Protocol.</w:t>
      </w:r>
      <w:r>
        <w:rPr>
          <w:rFonts w:ascii="Calibri" w:eastAsia="Calibri" w:hAnsi="Calibri" w:cs="Calibri"/>
          <w:vertAlign w:val="superscript"/>
        </w:rPr>
        <w:footnoteReference w:id="5"/>
      </w:r>
      <w:r>
        <w:rPr>
          <w:rFonts w:ascii="Calibri" w:eastAsia="Calibri" w:hAnsi="Calibri" w:cs="Calibri"/>
        </w:rPr>
        <w:t xml:space="preserve">  This clearly encompasses communication assistance in legal proceedings, the work carried out by intermediaries.   </w:t>
      </w:r>
    </w:p>
    <w:p w14:paraId="0D27BD5A" w14:textId="77777777" w:rsidR="001C1A47" w:rsidRDefault="001C1A47">
      <w:pPr>
        <w:spacing w:line="278" w:lineRule="auto"/>
        <w:ind w:left="1440"/>
        <w:rPr>
          <w:rFonts w:ascii="Calibri" w:eastAsia="Calibri" w:hAnsi="Calibri" w:cs="Calibri"/>
        </w:rPr>
      </w:pPr>
    </w:p>
    <w:p w14:paraId="4897F03B" w14:textId="77777777" w:rsidR="001C1A47" w:rsidRDefault="00000000">
      <w:pPr>
        <w:numPr>
          <w:ilvl w:val="2"/>
          <w:numId w:val="1"/>
        </w:numPr>
        <w:spacing w:line="278" w:lineRule="auto"/>
        <w:rPr>
          <w:rFonts w:ascii="Calibri" w:eastAsia="Calibri" w:hAnsi="Calibri" w:cs="Calibri"/>
          <w:color w:val="000000"/>
        </w:rPr>
      </w:pPr>
      <w:r>
        <w:rPr>
          <w:rFonts w:ascii="Calibri" w:eastAsia="Calibri" w:hAnsi="Calibri" w:cs="Calibri"/>
        </w:rPr>
        <w:t>It is not necessary that support in exercising legal capacity be formally structured as a legal instrument, although that model has been adopted in legislative reforms as an alternative to guardianship.  The obligations to provide support according to the will and preferences of the person concerned (who can refuse support, terminate or modify support, and direct the supporter), and to be free from conflict of interest or undue influence, remain applicable.</w:t>
      </w:r>
    </w:p>
    <w:p w14:paraId="07E7DEDC" w14:textId="77777777" w:rsidR="001C1A47" w:rsidRDefault="001C1A47">
      <w:pPr>
        <w:spacing w:line="278" w:lineRule="auto"/>
        <w:ind w:left="2160"/>
        <w:rPr>
          <w:rFonts w:ascii="Calibri" w:eastAsia="Calibri" w:hAnsi="Calibri" w:cs="Calibri"/>
        </w:rPr>
      </w:pPr>
    </w:p>
    <w:p w14:paraId="655D584A" w14:textId="77777777" w:rsidR="001C1A47" w:rsidRDefault="00000000">
      <w:pPr>
        <w:numPr>
          <w:ilvl w:val="2"/>
          <w:numId w:val="1"/>
        </w:numPr>
        <w:spacing w:line="278" w:lineRule="auto"/>
        <w:rPr>
          <w:rFonts w:ascii="Calibri" w:eastAsia="Calibri" w:hAnsi="Calibri" w:cs="Calibri"/>
          <w:color w:val="000000"/>
        </w:rPr>
      </w:pPr>
      <w:r>
        <w:rPr>
          <w:rFonts w:ascii="Calibri" w:eastAsia="Calibri" w:hAnsi="Calibri" w:cs="Calibri"/>
        </w:rPr>
        <w:t xml:space="preserve">The intermediary role can be defined based on its location within the justice system, for a specific purpose, and limited due to its interface with other roles such as that of legal counsel and other support persons that may be available and chosen by an individual.  </w:t>
      </w:r>
    </w:p>
    <w:p w14:paraId="4910FBD4" w14:textId="77777777" w:rsidR="001C1A47" w:rsidRDefault="001C1A47">
      <w:pPr>
        <w:spacing w:line="278" w:lineRule="auto"/>
        <w:ind w:left="2160"/>
        <w:rPr>
          <w:rFonts w:ascii="Calibri" w:eastAsia="Calibri" w:hAnsi="Calibri" w:cs="Calibri"/>
        </w:rPr>
      </w:pPr>
    </w:p>
    <w:p w14:paraId="2B99D1E7" w14:textId="77777777" w:rsidR="001C1A47" w:rsidRDefault="00000000">
      <w:pPr>
        <w:numPr>
          <w:ilvl w:val="1"/>
          <w:numId w:val="1"/>
        </w:numPr>
        <w:spacing w:line="278" w:lineRule="auto"/>
        <w:rPr>
          <w:rFonts w:ascii="Calibri" w:eastAsia="Calibri" w:hAnsi="Calibri" w:cs="Calibri"/>
          <w:color w:val="000000"/>
        </w:rPr>
      </w:pPr>
      <w:r>
        <w:rPr>
          <w:rFonts w:ascii="Calibri" w:eastAsia="Calibri" w:hAnsi="Calibri" w:cs="Calibri"/>
        </w:rPr>
        <w:t>Support in exercising legal capacity cannot be considered a neutral role with respect to all parties, because, for example, it entails obtaining confidential information from the person who has communication difficulties.  It is not the same as language interpretation (which can function without such confidential information).  This means the intermediary must keep the person’s confidences and not disclose them to the court or other parties.  If this confidentiality is not protected, then it is very likely that individuals with communication difficulties will not want to consent to the support offered by an intermediary even where such intermediaries are available.</w:t>
      </w:r>
    </w:p>
    <w:p w14:paraId="4716553F" w14:textId="77777777" w:rsidR="001C1A47" w:rsidRDefault="001C1A47">
      <w:pPr>
        <w:spacing w:line="278" w:lineRule="auto"/>
        <w:ind w:left="1440"/>
        <w:rPr>
          <w:rFonts w:ascii="Calibri" w:eastAsia="Calibri" w:hAnsi="Calibri" w:cs="Calibri"/>
        </w:rPr>
      </w:pPr>
    </w:p>
    <w:p w14:paraId="3ED132EB" w14:textId="77777777" w:rsidR="001C1A47" w:rsidRDefault="00000000">
      <w:pPr>
        <w:numPr>
          <w:ilvl w:val="2"/>
          <w:numId w:val="1"/>
        </w:numPr>
        <w:spacing w:line="278" w:lineRule="auto"/>
        <w:rPr>
          <w:rFonts w:ascii="Calibri" w:eastAsia="Calibri" w:hAnsi="Calibri" w:cs="Calibri"/>
          <w:color w:val="000000"/>
        </w:rPr>
      </w:pPr>
      <w:r>
        <w:rPr>
          <w:rFonts w:ascii="Calibri" w:eastAsia="Calibri" w:hAnsi="Calibri" w:cs="Calibri"/>
        </w:rPr>
        <w:lastRenderedPageBreak/>
        <w:t xml:space="preserve">While the intermediary is impartial as to the outcome of the case, their role should be to enhance the right to effective participation by the person being served, who does have an interest in the outcome.  Understanding an intermediary as a support person in exercising legal capacity places the role in the rights-based framework, assisting the person in understanding information about the proceedings so that they can make their own choices about how to interact and communicate in pursuit of the outcome which they seek.  These choices can be part of a legal strategy.  The intermediary should not attempt to influence those choices and should avoid acting in a manner which undermines them. </w:t>
      </w:r>
    </w:p>
    <w:p w14:paraId="7A9B43D3" w14:textId="77777777" w:rsidR="001C1A47" w:rsidRDefault="00000000">
      <w:pPr>
        <w:spacing w:line="278" w:lineRule="auto"/>
        <w:ind w:left="2160"/>
        <w:rPr>
          <w:rFonts w:ascii="Calibri" w:eastAsia="Calibri" w:hAnsi="Calibri" w:cs="Calibri"/>
        </w:rPr>
      </w:pPr>
      <w:r>
        <w:rPr>
          <w:rFonts w:ascii="Calibri" w:eastAsia="Calibri" w:hAnsi="Calibri" w:cs="Calibri"/>
        </w:rPr>
        <w:t xml:space="preserve"> </w:t>
      </w:r>
    </w:p>
    <w:p w14:paraId="3185E96B" w14:textId="77777777" w:rsidR="001C1A47" w:rsidRDefault="00000000">
      <w:pPr>
        <w:numPr>
          <w:ilvl w:val="3"/>
          <w:numId w:val="1"/>
        </w:numPr>
        <w:spacing w:line="278" w:lineRule="auto"/>
        <w:rPr>
          <w:rFonts w:ascii="Calibri" w:eastAsia="Calibri" w:hAnsi="Calibri" w:cs="Calibri"/>
          <w:color w:val="000000"/>
        </w:rPr>
      </w:pPr>
      <w:r>
        <w:rPr>
          <w:rFonts w:ascii="Calibri" w:eastAsia="Calibri" w:hAnsi="Calibri" w:cs="Calibri"/>
        </w:rPr>
        <w:t>It is important that effective participation must not be conflated with compulsory cooperation.  Persons with disabilities must be recognized as having the same rights as others to make choices about what and how to communicate.</w:t>
      </w:r>
    </w:p>
    <w:p w14:paraId="795879C5" w14:textId="77777777" w:rsidR="001C1A47" w:rsidRDefault="001C1A47">
      <w:pPr>
        <w:spacing w:line="278" w:lineRule="auto"/>
        <w:ind w:left="2880"/>
        <w:rPr>
          <w:rFonts w:ascii="Calibri" w:eastAsia="Calibri" w:hAnsi="Calibri" w:cs="Calibri"/>
        </w:rPr>
      </w:pPr>
    </w:p>
    <w:p w14:paraId="52447AD8" w14:textId="77777777" w:rsidR="001C1A47" w:rsidRDefault="00000000">
      <w:pPr>
        <w:numPr>
          <w:ilvl w:val="3"/>
          <w:numId w:val="1"/>
        </w:numPr>
        <w:spacing w:line="278" w:lineRule="auto"/>
        <w:rPr>
          <w:rFonts w:ascii="Calibri" w:eastAsia="Calibri" w:hAnsi="Calibri" w:cs="Calibri"/>
          <w:color w:val="000000"/>
        </w:rPr>
      </w:pPr>
      <w:r>
        <w:rPr>
          <w:rFonts w:ascii="Calibri" w:eastAsia="Calibri" w:hAnsi="Calibri" w:cs="Calibri"/>
        </w:rPr>
        <w:t>This includes the person’s choice about what and how to communicate to their lawyer.</w:t>
      </w:r>
    </w:p>
    <w:p w14:paraId="2829891C" w14:textId="77777777" w:rsidR="001C1A47" w:rsidRDefault="001C1A47">
      <w:pPr>
        <w:spacing w:line="278" w:lineRule="auto"/>
        <w:ind w:left="2880"/>
        <w:rPr>
          <w:rFonts w:ascii="Calibri" w:eastAsia="Calibri" w:hAnsi="Calibri" w:cs="Calibri"/>
        </w:rPr>
      </w:pPr>
    </w:p>
    <w:p w14:paraId="5C7DCC70" w14:textId="5A69D5E8" w:rsidR="001C1A47" w:rsidRDefault="00000000">
      <w:pPr>
        <w:numPr>
          <w:ilvl w:val="0"/>
          <w:numId w:val="1"/>
        </w:numPr>
        <w:spacing w:line="278" w:lineRule="auto"/>
        <w:rPr>
          <w:rFonts w:ascii="Calibri" w:eastAsia="Calibri" w:hAnsi="Calibri" w:cs="Calibri"/>
          <w:color w:val="000000"/>
        </w:rPr>
      </w:pPr>
      <w:r>
        <w:rPr>
          <w:rFonts w:ascii="Calibri" w:eastAsia="Calibri" w:hAnsi="Calibri" w:cs="Calibri"/>
        </w:rPr>
        <w:t xml:space="preserve">As the intermediary’s role falls under the core elements of support under Article 12, an intermediary must comply with the safeguards related to support provided for by the CRPD (i.e. to respect and act towards the fulfilment of the person’s will and preferences, refrain from conflict of interest and undue influence), within the parameters of their role.  An intermediary has a conflict of interest if they are required, contrary to the CRPD, to testify to the court about the person’s legal capacity, or even to testify about the quality of a person’s participation in the </w:t>
      </w:r>
      <w:r w:rsidR="008B7903">
        <w:rPr>
          <w:rFonts w:ascii="Calibri" w:eastAsia="Calibri" w:hAnsi="Calibri" w:cs="Calibri"/>
        </w:rPr>
        <w:t>proceeding,</w:t>
      </w:r>
      <w:r>
        <w:rPr>
          <w:rFonts w:ascii="Calibri" w:eastAsia="Calibri" w:hAnsi="Calibri" w:cs="Calibri"/>
        </w:rPr>
        <w:t xml:space="preserve"> absent the person’s consent.  Consent to disclosure of information relates to a person’s legal strategy, so the decision should be made with advice of counsel.  Undue influence would occur if, for example, the intermediary seeks to advise about legal strategy or promote their own view of the case, or if the intermediary acts on behalf of the court or police to obtain the person’s cooperation.</w:t>
      </w:r>
    </w:p>
    <w:p w14:paraId="6118D9A6" w14:textId="77777777" w:rsidR="001C1A47" w:rsidRDefault="001C1A47">
      <w:pPr>
        <w:spacing w:line="278" w:lineRule="auto"/>
        <w:ind w:left="720"/>
        <w:rPr>
          <w:rFonts w:ascii="Calibri" w:eastAsia="Calibri" w:hAnsi="Calibri" w:cs="Calibri"/>
        </w:rPr>
      </w:pPr>
    </w:p>
    <w:p w14:paraId="1162A3E7" w14:textId="77777777" w:rsidR="001C1A47" w:rsidRDefault="00000000">
      <w:pPr>
        <w:numPr>
          <w:ilvl w:val="0"/>
          <w:numId w:val="1"/>
        </w:numPr>
        <w:spacing w:line="278" w:lineRule="auto"/>
        <w:rPr>
          <w:rFonts w:ascii="Calibri" w:eastAsia="Calibri" w:hAnsi="Calibri" w:cs="Calibri"/>
          <w:color w:val="000000"/>
        </w:rPr>
      </w:pPr>
      <w:r>
        <w:rPr>
          <w:rFonts w:ascii="Calibri" w:eastAsia="Calibri" w:hAnsi="Calibri" w:cs="Calibri"/>
        </w:rPr>
        <w:t>The following questions remain:</w:t>
      </w:r>
    </w:p>
    <w:p w14:paraId="10368C4B" w14:textId="77777777" w:rsidR="001C1A47" w:rsidRDefault="001C1A47">
      <w:pPr>
        <w:spacing w:line="278" w:lineRule="auto"/>
        <w:ind w:left="720"/>
        <w:rPr>
          <w:rFonts w:ascii="Calibri" w:eastAsia="Calibri" w:hAnsi="Calibri" w:cs="Calibri"/>
        </w:rPr>
      </w:pPr>
    </w:p>
    <w:p w14:paraId="17B0D5A4" w14:textId="77777777" w:rsidR="001C1A47" w:rsidRDefault="00000000">
      <w:pPr>
        <w:numPr>
          <w:ilvl w:val="1"/>
          <w:numId w:val="1"/>
        </w:numPr>
        <w:spacing w:line="278" w:lineRule="auto"/>
        <w:rPr>
          <w:rFonts w:ascii="Calibri" w:eastAsia="Calibri" w:hAnsi="Calibri" w:cs="Calibri"/>
          <w:color w:val="000000"/>
        </w:rPr>
      </w:pPr>
      <w:r>
        <w:rPr>
          <w:rFonts w:ascii="Calibri" w:eastAsia="Calibri" w:hAnsi="Calibri" w:cs="Calibri"/>
        </w:rPr>
        <w:t xml:space="preserve">How can courts best meet their own communication needs when interacting with a person whose communication is unconventional, if the person does not wish to have the intermediary disclose personal information about them?  </w:t>
      </w:r>
      <w:r>
        <w:rPr>
          <w:rFonts w:ascii="Calibri" w:eastAsia="Calibri" w:hAnsi="Calibri" w:cs="Calibri"/>
        </w:rPr>
        <w:lastRenderedPageBreak/>
        <w:t xml:space="preserve">This is a practical question and does not call into question the right to refuse such disclosure or any compulsory examination.  </w:t>
      </w:r>
    </w:p>
    <w:p w14:paraId="7600B77C" w14:textId="77777777" w:rsidR="001C1A47" w:rsidRDefault="001C1A47">
      <w:pPr>
        <w:spacing w:line="278" w:lineRule="auto"/>
        <w:ind w:left="1440"/>
        <w:rPr>
          <w:rFonts w:ascii="Calibri" w:eastAsia="Calibri" w:hAnsi="Calibri" w:cs="Calibri"/>
        </w:rPr>
      </w:pPr>
    </w:p>
    <w:p w14:paraId="148C181F" w14:textId="77777777" w:rsidR="001C1A47" w:rsidRDefault="00000000">
      <w:pPr>
        <w:numPr>
          <w:ilvl w:val="1"/>
          <w:numId w:val="1"/>
        </w:numPr>
        <w:spacing w:line="278" w:lineRule="auto"/>
        <w:rPr>
          <w:rFonts w:ascii="Calibri" w:eastAsia="Calibri" w:hAnsi="Calibri" w:cs="Calibri"/>
          <w:color w:val="000000"/>
        </w:rPr>
      </w:pPr>
      <w:r>
        <w:rPr>
          <w:rFonts w:ascii="Calibri" w:eastAsia="Calibri" w:hAnsi="Calibri" w:cs="Calibri"/>
        </w:rPr>
        <w:t xml:space="preserve">What should a court do if it believes the fairness of a proceeding is compromised by a person not understanding what is going on?  Dismissal in the interest of justice is an option, and the court needs to exercise its own judgment and discretion.  </w:t>
      </w:r>
    </w:p>
    <w:p w14:paraId="5D860B57" w14:textId="77777777" w:rsidR="001C1A47" w:rsidRDefault="001C1A47">
      <w:pPr>
        <w:spacing w:line="278" w:lineRule="auto"/>
        <w:ind w:left="1440"/>
        <w:rPr>
          <w:rFonts w:ascii="Calibri" w:eastAsia="Calibri" w:hAnsi="Calibri" w:cs="Calibri"/>
        </w:rPr>
      </w:pPr>
    </w:p>
    <w:p w14:paraId="7A6DFDA4" w14:textId="77777777" w:rsidR="001C1A47" w:rsidRDefault="00000000">
      <w:pPr>
        <w:numPr>
          <w:ilvl w:val="1"/>
          <w:numId w:val="1"/>
        </w:numPr>
        <w:spacing w:line="278" w:lineRule="auto"/>
        <w:rPr>
          <w:rFonts w:ascii="Calibri" w:eastAsia="Calibri" w:hAnsi="Calibri" w:cs="Calibri"/>
          <w:color w:val="000000"/>
        </w:rPr>
      </w:pPr>
      <w:r>
        <w:rPr>
          <w:rFonts w:ascii="Calibri" w:eastAsia="Calibri" w:hAnsi="Calibri" w:cs="Calibri"/>
        </w:rPr>
        <w:t>What kinds of duties might intermediaries owe to the court and the justice system?  How, by whom, and in what kind of format (guidelines, regulations, rules tec) should these duties be defined?  The parameters of any ethical duties need to be defined in ways that do not undermine the right to legal capacity or require intermediaries to assess the person’s exercise of legal capacity.  They should not allow the intermediary to disclose information for reasons based on their opinion of the person’s ‘best interests,’ for example.  A general obligation to the court would be simply to act in good faith.  Ethical standards governing lawyers, court stenographers and interpreters may suggest analogous duties in some respects, while keeping in mind the differences between intermediaries and any of these roles, and maintaining fidelity to CRPD standards that those professions may not yet have incorporated.</w:t>
      </w:r>
    </w:p>
    <w:p w14:paraId="68A87223" w14:textId="77777777" w:rsidR="001C1A47" w:rsidRDefault="001C1A47">
      <w:pPr>
        <w:spacing w:line="278" w:lineRule="auto"/>
        <w:ind w:left="1440"/>
        <w:rPr>
          <w:rFonts w:ascii="Calibri" w:eastAsia="Calibri" w:hAnsi="Calibri" w:cs="Calibri"/>
        </w:rPr>
      </w:pPr>
    </w:p>
    <w:p w14:paraId="212FA8C5" w14:textId="27F9BA7A" w:rsidR="001C1A47" w:rsidRDefault="00000000">
      <w:pPr>
        <w:numPr>
          <w:ilvl w:val="1"/>
          <w:numId w:val="1"/>
        </w:numPr>
        <w:spacing w:after="160" w:line="278" w:lineRule="auto"/>
        <w:rPr>
          <w:rFonts w:ascii="Calibri" w:eastAsia="Calibri" w:hAnsi="Calibri" w:cs="Calibri"/>
          <w:color w:val="000000"/>
        </w:rPr>
      </w:pPr>
      <w:r>
        <w:rPr>
          <w:rFonts w:ascii="Calibri" w:eastAsia="Calibri" w:hAnsi="Calibri" w:cs="Calibri"/>
        </w:rPr>
        <w:t xml:space="preserve">If the person discloses something to an intermediary that the intermediary believes may affect their participation, should the intermediary be able to tell the lawyer?  No.  As a form of support in exercising legal capacity, the intermediary should respect the will and preferences of the person in this regard and not disclose information to the lawyer unless the person agrees.  But intermediaries, </w:t>
      </w:r>
      <w:r w:rsidR="008B7903">
        <w:rPr>
          <w:rFonts w:ascii="Calibri" w:eastAsia="Calibri" w:hAnsi="Calibri" w:cs="Calibri"/>
        </w:rPr>
        <w:t>lawyers</w:t>
      </w:r>
      <w:r>
        <w:rPr>
          <w:rFonts w:ascii="Calibri" w:eastAsia="Calibri" w:hAnsi="Calibri" w:cs="Calibri"/>
        </w:rPr>
        <w:t xml:space="preserve"> and clients would be wise to anticipate situations that may affect the person’s participation and discuss in advance how to address them.  We may need to consider additional issues that arise regarding the dual confidential relationships (client-intermediary, client-lawyer) and how they interact.</w:t>
      </w:r>
    </w:p>
    <w:p w14:paraId="3C6A514D" w14:textId="77777777" w:rsidR="001C1A47" w:rsidRDefault="001C1A47">
      <w:pPr>
        <w:pStyle w:val="Heading1"/>
        <w:jc w:val="both"/>
        <w:rPr>
          <w:rFonts w:ascii="Roboto" w:eastAsia="Roboto" w:hAnsi="Roboto" w:cs="Roboto"/>
          <w:sz w:val="24"/>
          <w:szCs w:val="24"/>
        </w:rPr>
      </w:pPr>
    </w:p>
    <w:sectPr w:rsidR="001C1A47">
      <w:headerReference w:type="even" r:id="rId8"/>
      <w:headerReference w:type="default" r:id="rId9"/>
      <w:footerReference w:type="even" r:id="rId10"/>
      <w:footerReference w:type="default" r:id="rId11"/>
      <w:headerReference w:type="first" r:id="rId12"/>
      <w:footerReference w:type="first" r:id="rId13"/>
      <w:pgSz w:w="11906" w:h="16838"/>
      <w:pgMar w:top="1985" w:right="1440" w:bottom="851" w:left="1418" w:header="851" w:footer="2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C6DDF5" w14:textId="77777777" w:rsidR="00094C36" w:rsidRDefault="00094C36">
      <w:r>
        <w:separator/>
      </w:r>
    </w:p>
  </w:endnote>
  <w:endnote w:type="continuationSeparator" w:id="0">
    <w:p w14:paraId="57E62D9A" w14:textId="77777777" w:rsidR="00094C36" w:rsidRDefault="00094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B1314F6-9109-ED4E-88CB-8310057EA6A6}"/>
    <w:embedBold r:id="rId2" w:fontKey="{33DC9E3E-4390-5F43-9B4C-82613240FD75}"/>
    <w:embedItalic r:id="rId3" w:fontKey="{61D94347-FAAA-E643-B278-4002514249DA}"/>
  </w:font>
  <w:font w:name="Open Sans">
    <w:panose1 w:val="020B0604020202020204"/>
    <w:charset w:val="00"/>
    <w:family w:val="swiss"/>
    <w:pitch w:val="variable"/>
    <w:sig w:usb0="E00002EF" w:usb1="4000205B" w:usb2="00000028" w:usb3="00000000" w:csb0="0000019F" w:csb1="00000000"/>
    <w:embedRegular r:id="rId4" w:fontKey="{4B626F7B-02F5-5A40-8689-0AF8B4C5770D}"/>
    <w:embedItalic r:id="rId5" w:fontKey="{774234F8-DF19-DE4C-95F2-1B8F235137FA}"/>
  </w:font>
  <w:font w:name="Calibri">
    <w:panose1 w:val="020F0502020204030204"/>
    <w:charset w:val="00"/>
    <w:family w:val="swiss"/>
    <w:pitch w:val="variable"/>
    <w:sig w:usb0="E4002EFF" w:usb1="C200247B" w:usb2="00000009" w:usb3="00000000" w:csb0="000001FF" w:csb1="00000000"/>
    <w:embedRegular r:id="rId6" w:fontKey="{A10782AE-7587-0D41-A78B-2D617DB7AA79}"/>
    <w:embedBold r:id="rId7" w:fontKey="{8726B57B-0572-9C49-A152-76D1CE12A518}"/>
    <w:embedItalic r:id="rId8" w:fontKey="{331B0ACB-00E7-D648-B87B-BA119824D380}"/>
  </w:font>
  <w:font w:name="Aptos">
    <w:panose1 w:val="020B0004020202020204"/>
    <w:charset w:val="00"/>
    <w:family w:val="swiss"/>
    <w:pitch w:val="variable"/>
    <w:sig w:usb0="20000287" w:usb1="00000003" w:usb2="00000000" w:usb3="00000000" w:csb0="0000019F" w:csb1="00000000"/>
    <w:embedRegular r:id="rId9" w:fontKey="{3BD96E3D-03B7-8946-8DA9-C8B0507E9407}"/>
  </w:font>
  <w:font w:name="Roboto">
    <w:panose1 w:val="02000000000000000000"/>
    <w:charset w:val="00"/>
    <w:family w:val="auto"/>
    <w:pitch w:val="variable"/>
    <w:sig w:usb0="E0000AFF" w:usb1="5000217F" w:usb2="00000021" w:usb3="00000000" w:csb0="0000019F" w:csb1="00000000"/>
    <w:embedRegular r:id="rId10" w:fontKey="{A3FA4E7F-32E9-1647-90FE-DE5E8705A474}"/>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embedRegular r:id="rId11" w:fontKey="{1238F0A2-77C4-2145-B919-07311E6117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B3562B" w14:textId="77777777" w:rsidR="008B7903" w:rsidRDefault="008B7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A6376F" w14:textId="1529C08E" w:rsidR="001C1A47" w:rsidRDefault="00000000">
    <w:pPr>
      <w:pStyle w:val="Heading1"/>
      <w:jc w:val="center"/>
    </w:pPr>
    <w:r>
      <w:rPr>
        <w:noProof/>
      </w:rPr>
      <mc:AlternateContent>
        <mc:Choice Requires="wps">
          <w:drawing>
            <wp:inline distT="0" distB="0" distL="0" distR="0" wp14:anchorId="06CDFB91" wp14:editId="687CB0D4">
              <wp:extent cx="8943975" cy="45719"/>
              <wp:effectExtent l="0" t="57150" r="85725" b="88265"/>
              <wp:docPr id="2" name="Conector recto de flecha 2"/>
              <wp:cNvGraphicFramePr/>
              <a:graphic xmlns:a="http://schemas.openxmlformats.org/drawingml/2006/main">
                <a:graphicData uri="http://schemas.microsoft.com/office/word/2010/wordprocessingShape">
                  <wps:wsp>
                    <wps:cNvCnPr/>
                    <wps:spPr>
                      <a:xfrm rot="10800000" flipH="1">
                        <a:off x="0" y="0"/>
                        <a:ext cx="8943975" cy="45719"/>
                      </a:xfrm>
                      <a:prstGeom prst="straightConnector1">
                        <a:avLst/>
                      </a:prstGeom>
                      <a:noFill/>
                      <a:ln w="127000" cap="flat" cmpd="sng">
                        <a:solidFill>
                          <a:srgbClr val="FF7800"/>
                        </a:solidFill>
                        <a:prstDash val="solid"/>
                        <a:miter lim="8000"/>
                        <a:headEnd type="none" w="sm" len="sm"/>
                        <a:tailEnd type="none" w="sm" len="sm"/>
                      </a:ln>
                    </wps:spPr>
                    <wps:bodyPr/>
                  </wps:wsp>
                </a:graphicData>
              </a:graphic>
            </wp:inline>
          </w:drawing>
        </mc:Choice>
        <mc:Fallback xmlns:w16cei="http://schemas.microsoft.com/office/word/2026/wordml/cei">
          <w:pict>
            <v:shapetype w14:anchorId="212C1BC2" id="_x0000_t32" coordsize="21600,21600" o:spt="32" o:oned="t" path="m,l21600,21600e" filled="f">
              <v:path arrowok="t" fillok="f" o:connecttype="none"/>
              <o:lock v:ext="edit" shapetype="t"/>
            </v:shapetype>
            <v:shape id="Conector recto de flecha 2" o:spid="_x0000_s1026" type="#_x0000_t32" style="width:704.25pt;height:3.6pt;rotation:18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" strokecolor="#ff7800" strokeweight="10pt">
              <v:stroke startarrowwidth="narrow" startarrowlength="short" endarrowwidth="narrow" endarrowlength="short" miterlimit="5243f" joinstyle="miter"/>
              <w10:anchorlock/>
            </v:shape>
          </w:pict>
        </mc:Fallback>
      </mc:AlternateContent>
    </w:r>
    <w:r>
      <w:rPr>
        <w:sz w:val="24"/>
        <w:szCs w:val="24"/>
      </w:rPr>
      <w:fldChar w:fldCharType="begin"/>
    </w:r>
    <w:r>
      <w:rPr>
        <w:sz w:val="24"/>
        <w:szCs w:val="24"/>
      </w:rPr>
      <w:instrText>PAGE</w:instrText>
    </w:r>
    <w:r>
      <w:rPr>
        <w:sz w:val="24"/>
        <w:szCs w:val="24"/>
      </w:rPr>
      <w:fldChar w:fldCharType="separate"/>
    </w:r>
    <w:r w:rsidR="008B7903">
      <w:rPr>
        <w:noProof/>
        <w:sz w:val="24"/>
        <w:szCs w:val="24"/>
      </w:rPr>
      <w:t>1</w:t>
    </w:r>
    <w:r>
      <w:rPr>
        <w:sz w:val="24"/>
        <w:szCs w:val="24"/>
      </w:rPr>
      <w:fldChar w:fldCharType="end"/>
    </w:r>
  </w:p>
  <w:p w14:paraId="09A9778B" w14:textId="77777777" w:rsidR="001C1A47" w:rsidRDefault="001C1A47">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DA2D9E" w14:textId="77777777" w:rsidR="008B7903" w:rsidRDefault="008B7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96BBBC" w14:textId="77777777" w:rsidR="00094C36" w:rsidRDefault="00094C36">
      <w:r>
        <w:separator/>
      </w:r>
    </w:p>
  </w:footnote>
  <w:footnote w:type="continuationSeparator" w:id="0">
    <w:p w14:paraId="0F135A1D" w14:textId="77777777" w:rsidR="00094C36" w:rsidRDefault="00094C36">
      <w:r>
        <w:continuationSeparator/>
      </w:r>
    </w:p>
  </w:footnote>
  <w:footnote w:id="1">
    <w:p w14:paraId="2BC53E74" w14:textId="77777777" w:rsidR="001C1A47" w:rsidRDefault="00000000">
      <w:pPr>
        <w:rPr>
          <w:rFonts w:ascii="Calibri" w:eastAsia="Calibri" w:hAnsi="Calibri" w:cs="Calibri"/>
          <w:sz w:val="20"/>
          <w:szCs w:val="20"/>
        </w:rPr>
      </w:pPr>
      <w:r>
        <w:rPr>
          <w:vertAlign w:val="superscript"/>
        </w:rPr>
        <w:footnoteRef/>
      </w:r>
      <w:r>
        <w:rPr>
          <w:rFonts w:ascii="Aptos" w:eastAsia="Aptos" w:hAnsi="Aptos" w:cs="Aptos"/>
          <w:sz w:val="20"/>
          <w:szCs w:val="20"/>
        </w:rPr>
        <w:t xml:space="preserve"> </w:t>
      </w:r>
      <w:r>
        <w:rPr>
          <w:rFonts w:ascii="Calibri" w:eastAsia="Calibri" w:hAnsi="Calibri" w:cs="Calibri"/>
          <w:sz w:val="20"/>
          <w:szCs w:val="20"/>
        </w:rPr>
        <w:t>CEDAW Article 15 para. 2:</w:t>
      </w:r>
    </w:p>
    <w:p w14:paraId="48F9A85B" w14:textId="77777777" w:rsidR="001C1A47" w:rsidRDefault="00000000">
      <w:pPr>
        <w:rPr>
          <w:rFonts w:ascii="Calibri" w:eastAsia="Calibri" w:hAnsi="Calibri" w:cs="Calibri"/>
          <w:sz w:val="20"/>
          <w:szCs w:val="20"/>
        </w:rPr>
      </w:pPr>
      <w:r>
        <w:rPr>
          <w:rFonts w:ascii="Calibri" w:eastAsia="Calibri" w:hAnsi="Calibri" w:cs="Calibri"/>
          <w:sz w:val="20"/>
          <w:szCs w:val="20"/>
        </w:rPr>
        <w:t>States Parties shall accord to women, in civil matters, a legal capacity identical to that of men and</w:t>
      </w:r>
    </w:p>
    <w:p w14:paraId="2CBC8F17" w14:textId="77777777" w:rsidR="001C1A47" w:rsidRDefault="00000000">
      <w:pPr>
        <w:rPr>
          <w:rFonts w:ascii="Calibri" w:eastAsia="Calibri" w:hAnsi="Calibri" w:cs="Calibri"/>
          <w:sz w:val="20"/>
          <w:szCs w:val="20"/>
        </w:rPr>
      </w:pPr>
      <w:r>
        <w:rPr>
          <w:rFonts w:ascii="Calibri" w:eastAsia="Calibri" w:hAnsi="Calibri" w:cs="Calibri"/>
          <w:sz w:val="20"/>
          <w:szCs w:val="20"/>
        </w:rPr>
        <w:t xml:space="preserve">the same opportunities to exercise that capacity. </w:t>
      </w:r>
      <w:proofErr w:type="gramStart"/>
      <w:r>
        <w:rPr>
          <w:rFonts w:ascii="Calibri" w:eastAsia="Calibri" w:hAnsi="Calibri" w:cs="Calibri"/>
          <w:sz w:val="20"/>
          <w:szCs w:val="20"/>
        </w:rPr>
        <w:t>In particular, they</w:t>
      </w:r>
      <w:proofErr w:type="gramEnd"/>
      <w:r>
        <w:rPr>
          <w:rFonts w:ascii="Calibri" w:eastAsia="Calibri" w:hAnsi="Calibri" w:cs="Calibri"/>
          <w:sz w:val="20"/>
          <w:szCs w:val="20"/>
        </w:rPr>
        <w:t xml:space="preserve"> shall give women equal rights to</w:t>
      </w:r>
    </w:p>
    <w:p w14:paraId="58CA2BA3" w14:textId="77777777" w:rsidR="001C1A47" w:rsidRDefault="00000000">
      <w:pPr>
        <w:rPr>
          <w:rFonts w:ascii="Calibri" w:eastAsia="Calibri" w:hAnsi="Calibri" w:cs="Calibri"/>
          <w:sz w:val="20"/>
          <w:szCs w:val="20"/>
        </w:rPr>
      </w:pPr>
      <w:r>
        <w:rPr>
          <w:rFonts w:ascii="Calibri" w:eastAsia="Calibri" w:hAnsi="Calibri" w:cs="Calibri"/>
          <w:sz w:val="20"/>
          <w:szCs w:val="20"/>
        </w:rPr>
        <w:t>conclude contracts and to administer property and shall treat them equally in all stages of procedure in</w:t>
      </w:r>
    </w:p>
    <w:p w14:paraId="5EF8F497" w14:textId="77777777" w:rsidR="001C1A47" w:rsidRDefault="00000000">
      <w:pPr>
        <w:rPr>
          <w:rFonts w:ascii="Aptos" w:eastAsia="Aptos" w:hAnsi="Aptos" w:cs="Aptos"/>
          <w:sz w:val="20"/>
          <w:szCs w:val="20"/>
        </w:rPr>
      </w:pPr>
      <w:r>
        <w:rPr>
          <w:rFonts w:ascii="Calibri" w:eastAsia="Calibri" w:hAnsi="Calibri" w:cs="Calibri"/>
          <w:sz w:val="20"/>
          <w:szCs w:val="20"/>
        </w:rPr>
        <w:t>courts and tribunals.</w:t>
      </w:r>
    </w:p>
  </w:footnote>
  <w:footnote w:id="2">
    <w:p w14:paraId="0FCC1FAC" w14:textId="77777777" w:rsidR="001C1A47" w:rsidRDefault="00000000">
      <w:pPr>
        <w:rPr>
          <w:rFonts w:ascii="Aptos" w:eastAsia="Aptos" w:hAnsi="Aptos" w:cs="Aptos"/>
          <w:sz w:val="20"/>
          <w:szCs w:val="20"/>
        </w:rPr>
      </w:pPr>
      <w:r>
        <w:rPr>
          <w:vertAlign w:val="superscript"/>
        </w:rPr>
        <w:footnoteRef/>
      </w:r>
      <w:r>
        <w:rPr>
          <w:rFonts w:ascii="Aptos" w:eastAsia="Aptos" w:hAnsi="Aptos" w:cs="Aptos"/>
          <w:sz w:val="20"/>
          <w:szCs w:val="20"/>
        </w:rPr>
        <w:t xml:space="preserve"> </w:t>
      </w:r>
      <w:r>
        <w:rPr>
          <w:rFonts w:ascii="Calibri" w:eastAsia="Calibri" w:hAnsi="Calibri" w:cs="Calibri"/>
          <w:sz w:val="20"/>
          <w:szCs w:val="20"/>
        </w:rPr>
        <w:t>CRPD/C/GC/1 (2014) paras. 38-39.</w:t>
      </w:r>
    </w:p>
  </w:footnote>
  <w:footnote w:id="3">
    <w:p w14:paraId="24E7C2A8" w14:textId="77777777" w:rsidR="001C1A47" w:rsidRDefault="00000000">
      <w:pPr>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Calibri" w:eastAsia="Calibri" w:hAnsi="Calibri" w:cs="Calibri"/>
          <w:i/>
          <w:iCs/>
          <w:sz w:val="20"/>
          <w:szCs w:val="20"/>
        </w:rPr>
        <w:t>Leo v. Australia</w:t>
      </w:r>
      <w:r>
        <w:rPr>
          <w:rFonts w:ascii="Calibri" w:eastAsia="Calibri" w:hAnsi="Calibri" w:cs="Calibri"/>
          <w:sz w:val="20"/>
          <w:szCs w:val="20"/>
        </w:rPr>
        <w:t xml:space="preserve">, CRPD/C/22/D/17/2013 (2019) paras. 8.4, 8.6-8.7, 9(b)(ii); </w:t>
      </w:r>
      <w:r>
        <w:rPr>
          <w:rFonts w:ascii="Calibri" w:eastAsia="Calibri" w:hAnsi="Calibri" w:cs="Calibri"/>
          <w:i/>
          <w:iCs/>
          <w:sz w:val="20"/>
          <w:szCs w:val="20"/>
        </w:rPr>
        <w:t>Doolan v. Australia</w:t>
      </w:r>
      <w:r>
        <w:rPr>
          <w:rFonts w:ascii="Calibri" w:eastAsia="Calibri" w:hAnsi="Calibri" w:cs="Calibri"/>
          <w:sz w:val="20"/>
          <w:szCs w:val="20"/>
        </w:rPr>
        <w:t xml:space="preserve">, CRPD/C/22/D/18/2013 (2019) paras. 8.4, 8.6-8.7, 9(b)ii); </w:t>
      </w:r>
      <w:r>
        <w:rPr>
          <w:rFonts w:ascii="Calibri" w:eastAsia="Calibri" w:hAnsi="Calibri" w:cs="Calibri"/>
          <w:i/>
          <w:iCs/>
          <w:sz w:val="20"/>
          <w:szCs w:val="20"/>
        </w:rPr>
        <w:t>Medina Vela v. Mexico</w:t>
      </w:r>
      <w:r>
        <w:rPr>
          <w:rFonts w:ascii="Calibri" w:eastAsia="Calibri" w:hAnsi="Calibri" w:cs="Calibri"/>
          <w:sz w:val="20"/>
          <w:szCs w:val="20"/>
        </w:rPr>
        <w:t>, CRPD/C/22/D/32/2015 (2019) paras. 10.6, 11(b)(iii).</w:t>
      </w:r>
    </w:p>
  </w:footnote>
  <w:footnote w:id="4">
    <w:p w14:paraId="6A237135" w14:textId="77777777" w:rsidR="001C1A47" w:rsidRDefault="00000000">
      <w:pPr>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CRPD/C/GC/1 (2014) para. 17; </w:t>
      </w:r>
      <w:proofErr w:type="spellStart"/>
      <w:r>
        <w:rPr>
          <w:rFonts w:ascii="Calibri" w:eastAsia="Calibri" w:hAnsi="Calibri" w:cs="Calibri"/>
          <w:i/>
          <w:iCs/>
          <w:sz w:val="20"/>
          <w:szCs w:val="20"/>
        </w:rPr>
        <w:t>Decreto</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Legislativo</w:t>
      </w:r>
      <w:proofErr w:type="spellEnd"/>
      <w:r>
        <w:rPr>
          <w:rFonts w:ascii="Calibri" w:eastAsia="Calibri" w:hAnsi="Calibri" w:cs="Calibri"/>
          <w:i/>
          <w:iCs/>
          <w:sz w:val="20"/>
          <w:szCs w:val="20"/>
        </w:rPr>
        <w:t xml:space="preserve"> No. 1384</w:t>
      </w:r>
      <w:r>
        <w:rPr>
          <w:rFonts w:ascii="Calibri" w:eastAsia="Calibri" w:hAnsi="Calibri" w:cs="Calibri"/>
          <w:sz w:val="20"/>
          <w:szCs w:val="20"/>
        </w:rPr>
        <w:t xml:space="preserve"> (Perú) (04/09/2018), </w:t>
      </w:r>
      <w:proofErr w:type="spellStart"/>
      <w:r>
        <w:rPr>
          <w:rFonts w:ascii="Calibri" w:eastAsia="Calibri" w:hAnsi="Calibri" w:cs="Calibri"/>
          <w:sz w:val="20"/>
          <w:szCs w:val="20"/>
        </w:rPr>
        <w:t>Artículo</w:t>
      </w:r>
      <w:proofErr w:type="spellEnd"/>
      <w:r>
        <w:rPr>
          <w:rFonts w:ascii="Calibri" w:eastAsia="Calibri" w:hAnsi="Calibri" w:cs="Calibri"/>
          <w:sz w:val="20"/>
          <w:szCs w:val="20"/>
        </w:rPr>
        <w:t xml:space="preserve"> 3.- </w:t>
      </w:r>
      <w:r w:rsidRPr="00DE2AD1">
        <w:rPr>
          <w:rFonts w:ascii="Calibri" w:eastAsia="Calibri" w:hAnsi="Calibri" w:cs="Calibri"/>
          <w:sz w:val="20"/>
          <w:szCs w:val="20"/>
          <w:lang w:val="es-419"/>
        </w:rPr>
        <w:t xml:space="preserve">Incorporación del Capítulo Cuarto al Título II de la Sección Cuarta del Libro III del Código Civil, Art. 659-B Definición de Apoyos; </w:t>
      </w:r>
      <w:r w:rsidRPr="00DE2AD1">
        <w:rPr>
          <w:rFonts w:ascii="Calibri" w:eastAsia="Calibri" w:hAnsi="Calibri" w:cs="Calibri"/>
          <w:i/>
          <w:iCs/>
          <w:sz w:val="20"/>
          <w:szCs w:val="20"/>
          <w:lang w:val="es-419"/>
        </w:rPr>
        <w:t>Ley No. 1996 de 2019</w:t>
      </w:r>
      <w:r w:rsidRPr="00DE2AD1">
        <w:rPr>
          <w:rFonts w:ascii="Calibri" w:eastAsia="Calibri" w:hAnsi="Calibri" w:cs="Calibri"/>
          <w:sz w:val="20"/>
          <w:szCs w:val="20"/>
          <w:lang w:val="es-419"/>
        </w:rPr>
        <w:t xml:space="preserve"> (Colombia), Art. 3.4; </w:t>
      </w:r>
      <w:r w:rsidRPr="00DE2AD1">
        <w:rPr>
          <w:rFonts w:ascii="Calibri" w:eastAsia="Calibri" w:hAnsi="Calibri" w:cs="Calibri"/>
          <w:i/>
          <w:iCs/>
          <w:sz w:val="20"/>
          <w:szCs w:val="20"/>
          <w:lang w:val="es-419"/>
        </w:rPr>
        <w:t>Codigo Civil para el Distrito Federal</w:t>
      </w:r>
      <w:r w:rsidRPr="00DE2AD1">
        <w:rPr>
          <w:rFonts w:ascii="Calibri" w:eastAsia="Calibri" w:hAnsi="Calibri" w:cs="Calibri"/>
          <w:sz w:val="20"/>
          <w:szCs w:val="20"/>
          <w:lang w:val="es-419"/>
        </w:rPr>
        <w:t xml:space="preserve"> (México), Gaceta Oficial de la Ciudad de México Vigésima Primera Época, No. 1496 Bis (29 de Noviembre de 2024), Art. 24-E para. </w:t>
      </w:r>
      <w:r>
        <w:rPr>
          <w:rFonts w:ascii="Calibri" w:eastAsia="Calibri" w:hAnsi="Calibri" w:cs="Calibri"/>
          <w:sz w:val="20"/>
          <w:szCs w:val="20"/>
        </w:rPr>
        <w:t>II.</w:t>
      </w:r>
    </w:p>
  </w:footnote>
  <w:footnote w:id="5">
    <w:p w14:paraId="6CBAF7B6" w14:textId="77777777" w:rsidR="001C1A47" w:rsidRDefault="00000000">
      <w:pPr>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See footnote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B3BBFE" w14:textId="77777777" w:rsidR="008B7903" w:rsidRDefault="008B79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E9EA8D" w14:textId="77777777" w:rsidR="001C1A47" w:rsidRDefault="00000000">
    <w:pPr>
      <w:pBdr>
        <w:top w:val="nil"/>
        <w:left w:val="nil"/>
        <w:bottom w:val="nil"/>
        <w:right w:val="nil"/>
        <w:between w:val="nil"/>
      </w:pBdr>
      <w:tabs>
        <w:tab w:val="center" w:pos="4513"/>
        <w:tab w:val="right" w:pos="9026"/>
      </w:tabs>
      <w:jc w:val="center"/>
      <w:rPr>
        <w:i/>
        <w:iCs/>
        <w:color w:val="6A9FBB"/>
      </w:rPr>
    </w:pPr>
    <w:r>
      <w:rPr>
        <w:i/>
        <w:iCs/>
        <w:noProof/>
        <w:color w:val="6A9FBB"/>
      </w:rPr>
      <w:drawing>
        <wp:anchor distT="0" distB="0" distL="114300" distR="114300" simplePos="0" relativeHeight="251658240" behindDoc="0" locked="0" layoutInCell="1" hidden="0" allowOverlap="1" wp14:anchorId="36EB4A78" wp14:editId="7B94A2D3">
          <wp:simplePos x="0" y="0"/>
          <wp:positionH relativeFrom="page">
            <wp:posOffset>325673</wp:posOffset>
          </wp:positionH>
          <wp:positionV relativeFrom="page">
            <wp:posOffset>333214</wp:posOffset>
          </wp:positionV>
          <wp:extent cx="1536916" cy="37528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36916" cy="375285"/>
                  </a:xfrm>
                  <a:prstGeom prst="rect">
                    <a:avLst/>
                  </a:prstGeom>
                  <a:ln/>
                </pic:spPr>
              </pic:pic>
            </a:graphicData>
          </a:graphic>
        </wp:anchor>
      </w:drawing>
    </w:r>
    <w:r>
      <w:rPr>
        <w:i/>
        <w:iCs/>
        <w:noProof/>
        <w:color w:val="6A9FBB"/>
      </w:rPr>
      <mc:AlternateContent>
        <mc:Choice Requires="wps">
          <w:drawing>
            <wp:anchor distT="0" distB="0" distL="114300" distR="114300" simplePos="0" relativeHeight="251659264" behindDoc="0" locked="0" layoutInCell="1" hidden="0" allowOverlap="1" wp14:anchorId="10377290" wp14:editId="3A32C62B">
              <wp:simplePos x="0" y="0"/>
              <wp:positionH relativeFrom="margin">
                <wp:posOffset>-1648731</wp:posOffset>
              </wp:positionH>
              <wp:positionV relativeFrom="page">
                <wp:posOffset>245110</wp:posOffset>
              </wp:positionV>
              <wp:extent cx="10481945" cy="862330"/>
              <wp:effectExtent l="0" t="0" r="0" b="0"/>
              <wp:wrapNone/>
              <wp:docPr id="1" name="Forma libre: forma 1"/>
              <wp:cNvGraphicFramePr/>
              <a:graphic xmlns:a="http://schemas.openxmlformats.org/drawingml/2006/main">
                <a:graphicData uri="http://schemas.microsoft.com/office/word/2010/wordprocessingShape">
                  <wps:wsp>
                    <wps:cNvSpPr/>
                    <wps:spPr>
                      <a:xfrm>
                        <a:off x="168528" y="3412335"/>
                        <a:ext cx="10354945" cy="735330"/>
                      </a:xfrm>
                      <a:custGeom>
                        <a:avLst/>
                        <a:gdLst/>
                        <a:ahLst/>
                        <a:cxnLst/>
                        <a:rect l="l" t="t" r="r" b="b"/>
                        <a:pathLst>
                          <a:path w="10355401" h="741339" extrusionOk="0">
                            <a:moveTo>
                              <a:pt x="0" y="741339"/>
                            </a:moveTo>
                            <a:cubicBezTo>
                              <a:pt x="1197" y="740309"/>
                              <a:pt x="2409106" y="724913"/>
                              <a:pt x="2735994" y="727186"/>
                            </a:cubicBezTo>
                            <a:cubicBezTo>
                              <a:pt x="2904887" y="727086"/>
                              <a:pt x="2954443" y="612625"/>
                              <a:pt x="2964143" y="441618"/>
                            </a:cubicBezTo>
                            <a:lnTo>
                              <a:pt x="2964143" y="90254"/>
                            </a:lnTo>
                            <a:cubicBezTo>
                              <a:pt x="2964143" y="41740"/>
                              <a:pt x="3003472" y="2411"/>
                              <a:pt x="3051986" y="2411"/>
                            </a:cubicBezTo>
                            <a:lnTo>
                              <a:pt x="10355401" y="0"/>
                            </a:lnTo>
                          </a:path>
                        </a:pathLst>
                      </a:custGeom>
                      <a:noFill/>
                      <a:ln w="127000" cap="flat" cmpd="sng">
                        <a:solidFill>
                          <a:srgbClr val="00334E"/>
                        </a:solidFill>
                        <a:prstDash val="solid"/>
                        <a:miter lim="8000"/>
                        <a:headEnd type="none" w="sm" len="sm"/>
                        <a:tailEnd type="none" w="sm" len="sm"/>
                      </a:ln>
                    </wps:spPr>
                    <wps:txbx>
                      <w:txbxContent>
                        <w:p w14:paraId="200C7D94" w14:textId="77777777" w:rsidR="001C1A47" w:rsidRDefault="001C1A47">
                          <w:pPr>
                            <w:textDirection w:val="btLr"/>
                          </w:pPr>
                        </w:p>
                      </w:txbxContent>
                    </wps:txbx>
                    <wps:bodyPr spcFirstLastPara="1" wrap="square" lIns="91425" tIns="91425" rIns="91425" bIns="91425" anchor="ctr" anchorCtr="0">
                      <a:noAutofit/>
                    </wps:bodyPr>
                  </wps:wsp>
                </a:graphicData>
              </a:graphic>
            </wp:anchor>
          </w:drawing>
        </mc:Choice>
        <mc:Fallback>
          <w:pict>
            <v:shape w14:anchorId="10377290" id="Forma libre: forma 1" o:spid="_x0000_s1026" style="position:absolute;left:0;text-align:left;margin-left:-129.8pt;margin-top:19.3pt;width:825.35pt;height:67.9pt;z-index:251659264;visibility:visible;mso-wrap-style:square;mso-wrap-distance-left:9pt;mso-wrap-distance-top:0;mso-wrap-distance-right:9pt;mso-wrap-distance-bottom:0;mso-position-horizontal:absolute;mso-position-horizontal-relative:margin;mso-position-vertical:absolute;mso-position-vertical-relative:page;v-text-anchor:middle" coordsize="10355401,741339"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" adj="-11796480,,5400" path="m,741339v1197,-1030,2409106,-16426,2735994,-14153c2904887,727086,2954443,612625,2964143,441618r,-351364c2964143,41740,3003472,2411,3051986,2411l10355401,e" filled="f" strokecolor="#00334e" strokeweight="10pt">
              <v:stroke startarrowwidth="narrow" startarrowlength="short" endarrowwidth="narrow" endarrowlength="short" miterlimit="5243f" joinstyle="miter"/>
              <v:formulas/>
              <v:path arrowok="t" o:extrusionok="f" o:connecttype="custom" textboxrect="0,0,10355401,741339"/>
              <v:textbox inset="2.53958mm,2.53958mm,2.53958mm,2.53958mm">
                <w:txbxContent>
                  <w:p w14:paraId="200C7D94" w14:textId="77777777" w:rsidR="001C1A47" w:rsidRDefault="001C1A47">
                    <w:pPr>
                      <w:textDirection w:val="btLr"/>
                    </w:pPr>
                  </w:p>
                </w:txbxContent>
              </v:textbox>
              <w10:wrap anchorx="margin" anchory="page"/>
            </v:shape>
          </w:pict>
        </mc:Fallback>
      </mc:AlternateContent>
    </w:r>
    <w:r>
      <w:rPr>
        <w:i/>
        <w:iCs/>
        <w:noProof/>
        <w:color w:val="6A9FBB"/>
      </w:rPr>
      <mc:AlternateContent>
        <mc:Choice Requires="wps">
          <w:drawing>
            <wp:anchor distT="0" distB="0" distL="114300" distR="114300" simplePos="0" relativeHeight="251660288" behindDoc="0" locked="0" layoutInCell="1" hidden="0" allowOverlap="1" wp14:anchorId="48E940E1" wp14:editId="376AC8BD">
              <wp:simplePos x="0" y="0"/>
              <wp:positionH relativeFrom="margin">
                <wp:posOffset>-1870255</wp:posOffset>
              </wp:positionH>
              <wp:positionV relativeFrom="page">
                <wp:posOffset>191770</wp:posOffset>
              </wp:positionV>
              <wp:extent cx="10652125" cy="859155"/>
              <wp:effectExtent l="0" t="0" r="0" b="0"/>
              <wp:wrapNone/>
              <wp:docPr id="7" name="Forma libre: forma 7"/>
              <wp:cNvGraphicFramePr/>
              <a:graphic xmlns:a="http://schemas.openxmlformats.org/drawingml/2006/main">
                <a:graphicData uri="http://schemas.microsoft.com/office/word/2010/wordprocessingShape">
                  <wps:wsp>
                    <wps:cNvSpPr/>
                    <wps:spPr>
                      <a:xfrm>
                        <a:off x="83438" y="3413923"/>
                        <a:ext cx="10525125" cy="732155"/>
                      </a:xfrm>
                      <a:custGeom>
                        <a:avLst/>
                        <a:gdLst/>
                        <a:ahLst/>
                        <a:cxnLst/>
                        <a:rect l="l" t="t" r="r" b="b"/>
                        <a:pathLst>
                          <a:path w="10525675" h="738162" extrusionOk="0">
                            <a:moveTo>
                              <a:pt x="0" y="738162"/>
                            </a:moveTo>
                            <a:cubicBezTo>
                              <a:pt x="1197" y="737132"/>
                              <a:pt x="2579380" y="724913"/>
                              <a:pt x="2906268" y="727186"/>
                            </a:cubicBezTo>
                            <a:cubicBezTo>
                              <a:pt x="3075161" y="727086"/>
                              <a:pt x="3124717" y="612625"/>
                              <a:pt x="3134417" y="441618"/>
                            </a:cubicBezTo>
                            <a:lnTo>
                              <a:pt x="3134417" y="90254"/>
                            </a:lnTo>
                            <a:cubicBezTo>
                              <a:pt x="3134417" y="41740"/>
                              <a:pt x="3173746" y="2411"/>
                              <a:pt x="3222260" y="2411"/>
                            </a:cubicBezTo>
                            <a:lnTo>
                              <a:pt x="10525675" y="0"/>
                            </a:lnTo>
                          </a:path>
                        </a:pathLst>
                      </a:custGeom>
                      <a:noFill/>
                      <a:ln w="127000" cap="flat" cmpd="sng">
                        <a:solidFill>
                          <a:srgbClr val="FF7800"/>
                        </a:solidFill>
                        <a:prstDash val="solid"/>
                        <a:miter lim="8000"/>
                        <a:headEnd type="none" w="sm" len="sm"/>
                        <a:tailEnd type="none" w="sm" len="sm"/>
                      </a:ln>
                    </wps:spPr>
                    <wps:txbx>
                      <w:txbxContent>
                        <w:p w14:paraId="4DF36802" w14:textId="77777777" w:rsidR="001C1A47" w:rsidRDefault="001C1A47">
                          <w:pPr>
                            <w:textDirection w:val="btLr"/>
                          </w:pPr>
                        </w:p>
                      </w:txbxContent>
                    </wps:txbx>
                    <wps:bodyPr spcFirstLastPara="1" wrap="square" lIns="91425" tIns="91425" rIns="91425" bIns="91425" anchor="ctr" anchorCtr="0">
                      <a:noAutofit/>
                    </wps:bodyPr>
                  </wps:wsp>
                </a:graphicData>
              </a:graphic>
            </wp:anchor>
          </w:drawing>
        </mc:Choice>
        <mc:Fallback>
          <w:pict>
            <v:shape w14:anchorId="48E940E1" id="Forma libre: forma 7" o:spid="_x0000_s1027" style="position:absolute;left:0;text-align:left;margin-left:-147.25pt;margin-top:15.1pt;width:838.75pt;height:67.65pt;z-index:251660288;visibility:visible;mso-wrap-style:square;mso-wrap-distance-left:9pt;mso-wrap-distance-top:0;mso-wrap-distance-right:9pt;mso-wrap-distance-bottom:0;mso-position-horizontal:absolute;mso-position-horizontal-relative:margin;mso-position-vertical:absolute;mso-position-vertical-relative:page;v-text-anchor:middle" coordsize="10525675,738162"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" adj="-11796480,,5400" path="m,738162v1197,-1030,2579380,-13249,2906268,-10976c3075161,727086,3124717,612625,3134417,441618r,-351364c3134417,41740,3173746,2411,3222260,2411l10525675,e" filled="f" strokecolor="#ff7800" strokeweight="10pt">
              <v:stroke startarrowwidth="narrow" startarrowlength="short" endarrowwidth="narrow" endarrowlength="short" miterlimit="5243f" joinstyle="miter"/>
              <v:formulas/>
              <v:path arrowok="t" o:extrusionok="f" o:connecttype="custom" textboxrect="0,0,10525675,738162"/>
              <v:textbox inset="2.53958mm,2.53958mm,2.53958mm,2.53958mm">
                <w:txbxContent>
                  <w:p w14:paraId="4DF36802" w14:textId="77777777" w:rsidR="001C1A47" w:rsidRDefault="001C1A47">
                    <w:pPr>
                      <w:textDirection w:val="btLr"/>
                    </w:pPr>
                  </w:p>
                </w:txbxContent>
              </v:textbox>
              <w10:wrap anchorx="margin" anchory="page"/>
            </v:shape>
          </w:pict>
        </mc:Fallback>
      </mc:AlternateContent>
    </w:r>
    <w:r>
      <w:rPr>
        <w:i/>
        <w:iCs/>
        <w:noProof/>
        <w:color w:val="6A9FBB"/>
      </w:rPr>
      <mc:AlternateContent>
        <mc:Choice Requires="wps">
          <w:drawing>
            <wp:anchor distT="0" distB="0" distL="114300" distR="114300" simplePos="0" relativeHeight="251661312" behindDoc="0" locked="0" layoutInCell="1" hidden="0" allowOverlap="1" wp14:anchorId="16A3BBB3" wp14:editId="22648EFB">
              <wp:simplePos x="0" y="0"/>
              <wp:positionH relativeFrom="margin">
                <wp:posOffset>-2009865</wp:posOffset>
              </wp:positionH>
              <wp:positionV relativeFrom="page">
                <wp:posOffset>185420</wp:posOffset>
              </wp:positionV>
              <wp:extent cx="10727055" cy="810260"/>
              <wp:effectExtent l="0" t="0" r="0" b="0"/>
              <wp:wrapNone/>
              <wp:docPr id="5" name="Forma libre: forma 5"/>
              <wp:cNvGraphicFramePr/>
              <a:graphic xmlns:a="http://schemas.openxmlformats.org/drawingml/2006/main">
                <a:graphicData uri="http://schemas.microsoft.com/office/word/2010/wordprocessingShape">
                  <wps:wsp>
                    <wps:cNvSpPr/>
                    <wps:spPr>
                      <a:xfrm>
                        <a:off x="26923" y="3419320"/>
                        <a:ext cx="10638155" cy="721360"/>
                      </a:xfrm>
                      <a:custGeom>
                        <a:avLst/>
                        <a:gdLst/>
                        <a:ahLst/>
                        <a:cxnLst/>
                        <a:rect l="l" t="t" r="r" b="b"/>
                        <a:pathLst>
                          <a:path w="10639010" h="727186" extrusionOk="0">
                            <a:moveTo>
                              <a:pt x="0" y="718498"/>
                            </a:moveTo>
                            <a:cubicBezTo>
                              <a:pt x="1197" y="717468"/>
                              <a:pt x="2692715" y="724913"/>
                              <a:pt x="3019603" y="727186"/>
                            </a:cubicBezTo>
                            <a:cubicBezTo>
                              <a:pt x="3188496" y="727086"/>
                              <a:pt x="3238052" y="612625"/>
                              <a:pt x="3247752" y="441618"/>
                            </a:cubicBezTo>
                            <a:lnTo>
                              <a:pt x="3247752" y="90254"/>
                            </a:lnTo>
                            <a:cubicBezTo>
                              <a:pt x="3247752" y="41740"/>
                              <a:pt x="3287081" y="2411"/>
                              <a:pt x="3335595" y="2411"/>
                            </a:cubicBezTo>
                            <a:lnTo>
                              <a:pt x="10639010" y="0"/>
                            </a:lnTo>
                          </a:path>
                        </a:pathLst>
                      </a:custGeom>
                      <a:noFill/>
                      <a:ln w="88900" cap="flat" cmpd="sng">
                        <a:solidFill>
                          <a:srgbClr val="6A9FBB"/>
                        </a:solidFill>
                        <a:prstDash val="solid"/>
                        <a:miter lim="8000"/>
                        <a:headEnd type="none" w="sm" len="sm"/>
                        <a:tailEnd type="none" w="sm" len="sm"/>
                      </a:ln>
                    </wps:spPr>
                    <wps:txbx>
                      <w:txbxContent>
                        <w:p w14:paraId="625263C5" w14:textId="77777777" w:rsidR="001C1A47" w:rsidRDefault="001C1A47">
                          <w:pPr>
                            <w:textDirection w:val="btLr"/>
                          </w:pPr>
                        </w:p>
                      </w:txbxContent>
                    </wps:txbx>
                    <wps:bodyPr spcFirstLastPara="1" wrap="square" lIns="91425" tIns="91425" rIns="91425" bIns="91425" anchor="ctr" anchorCtr="0">
                      <a:noAutofit/>
                    </wps:bodyPr>
                  </wps:wsp>
                </a:graphicData>
              </a:graphic>
            </wp:anchor>
          </w:drawing>
        </mc:Choice>
        <mc:Fallback>
          <w:pict>
            <v:shape w14:anchorId="16A3BBB3" id="Forma libre: forma 5" o:spid="_x0000_s1028" style="position:absolute;left:0;text-align:left;margin-left:-158.25pt;margin-top:14.6pt;width:844.65pt;height:63.8pt;z-index:251661312;visibility:visible;mso-wrap-style:square;mso-wrap-distance-left:9pt;mso-wrap-distance-top:0;mso-wrap-distance-right:9pt;mso-wrap-distance-bottom:0;mso-position-horizontal:absolute;mso-position-horizontal-relative:margin;mso-position-vertical:absolute;mso-position-vertical-relative:page;v-text-anchor:middle" coordsize="10639010,727186"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" adj="-11796480,,5400" path="m,718498v1197,-1030,2692715,6415,3019603,8688c3188496,727086,3238052,612625,3247752,441618r,-351364c3247752,41740,3287081,2411,3335595,2411l10639010,e" filled="f" strokecolor="#6a9fbb" strokeweight="7pt">
              <v:stroke startarrowwidth="narrow" startarrowlength="short" endarrowwidth="narrow" endarrowlength="short" miterlimit="5243f" joinstyle="miter"/>
              <v:formulas/>
              <v:path arrowok="t" o:extrusionok="f" o:connecttype="custom" textboxrect="0,0,10639010,727186"/>
              <v:textbox inset="2.53958mm,2.53958mm,2.53958mm,2.53958mm">
                <w:txbxContent>
                  <w:p w14:paraId="625263C5" w14:textId="77777777" w:rsidR="001C1A47" w:rsidRDefault="001C1A47">
                    <w:pPr>
                      <w:textDirection w:val="btLr"/>
                    </w:pP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40FAFE" w14:textId="77777777" w:rsidR="008B7903" w:rsidRDefault="008B7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011EF0"/>
    <w:multiLevelType w:val="multilevel"/>
    <w:tmpl w:val="322ADA7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08536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5"/>
  <w:embedTrueTypeFonts/>
  <w:proofState w:spelling="clean" w:grammar="clean"/>
  <w:documentProtection w:edit="readOnly" w:enforcement="1"/>
  <w:defaultTabStop w:val="720"/>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A47"/>
    <w:rsid w:val="00000106"/>
    <w:rsid w:val="00094C36"/>
    <w:rsid w:val="001C1A47"/>
    <w:rsid w:val="001D41C0"/>
    <w:rsid w:val="002C0821"/>
    <w:rsid w:val="0051547F"/>
    <w:rsid w:val="0053562B"/>
    <w:rsid w:val="00704CD3"/>
    <w:rsid w:val="008B7903"/>
    <w:rsid w:val="00DE2AD1"/>
  </w:rsids>
  <m:mathPr>
    <m:mathFont m:val="Cambria Math"/>
    <m:brkBin m:val="before"/>
    <m:brkBinSub m:val="--"/>
    <m:smallFrac m:val="0"/>
    <m:dispDef/>
    <m:lMargin m:val="0"/>
    <m:rMargin m:val="0"/>
    <m:defJc m:val="centerGroup"/>
    <m:wrapIndent m:val="1440"/>
    <m:intLim m:val="subSup"/>
    <m:naryLim m:val="undOvr"/>
  </m:mathPr>
  <w:themeFontLang w:val="es-MX"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65496D45"/>
  <w15:docId w15:val="{B85A7909-67BE-45DF-868D-4257184A8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Open Sans" w:eastAsia="Open Sans" w:hAnsi="Open Sans" w:cs="Open Sans"/>
      <w:color w:val="00334E"/>
      <w:sz w:val="32"/>
      <w:szCs w:val="32"/>
    </w:rPr>
  </w:style>
  <w:style w:type="paragraph" w:styleId="Heading2">
    <w:name w:val="heading 2"/>
    <w:basedOn w:val="Normal"/>
    <w:next w:val="Normal"/>
    <w:uiPriority w:val="9"/>
    <w:semiHidden/>
    <w:unhideWhenUsed/>
    <w:qFormat/>
    <w:pPr>
      <w:keepNext/>
      <w:keepLines/>
      <w:spacing w:before="40"/>
      <w:outlineLvl w:val="1"/>
    </w:pPr>
    <w:rPr>
      <w:rFonts w:ascii="Open Sans" w:eastAsia="Open Sans" w:hAnsi="Open Sans" w:cs="Open Sans"/>
      <w:color w:val="00334E"/>
      <w:sz w:val="26"/>
      <w:szCs w:val="26"/>
    </w:rPr>
  </w:style>
  <w:style w:type="paragraph" w:styleId="Heading3">
    <w:name w:val="heading 3"/>
    <w:basedOn w:val="Normal"/>
    <w:next w:val="Normal"/>
    <w:uiPriority w:val="9"/>
    <w:semiHidden/>
    <w:unhideWhenUsed/>
    <w:qFormat/>
    <w:pPr>
      <w:keepNext/>
      <w:keepLines/>
      <w:spacing w:before="40"/>
      <w:outlineLvl w:val="2"/>
    </w:pPr>
    <w:rPr>
      <w:rFonts w:ascii="Open Sans" w:eastAsia="Open Sans" w:hAnsi="Open Sans" w:cs="Open Sans"/>
      <w:color w:val="00334E"/>
    </w:rPr>
  </w:style>
  <w:style w:type="paragraph" w:styleId="Heading4">
    <w:name w:val="heading 4"/>
    <w:basedOn w:val="Normal"/>
    <w:next w:val="Normal"/>
    <w:uiPriority w:val="9"/>
    <w:semiHidden/>
    <w:unhideWhenUsed/>
    <w:qFormat/>
    <w:pPr>
      <w:keepNext/>
      <w:keepLines/>
      <w:spacing w:before="40"/>
      <w:outlineLvl w:val="3"/>
    </w:pPr>
    <w:rPr>
      <w:rFonts w:ascii="Open Sans" w:eastAsia="Open Sans" w:hAnsi="Open Sans" w:cs="Open Sans"/>
      <w:i/>
      <w:iCs/>
      <w:color w:val="00334E"/>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rFonts w:ascii="Open Sans" w:eastAsia="Open Sans" w:hAnsi="Open Sans" w:cs="Open Sans"/>
      <w:color w:val="6A9FBB"/>
      <w:sz w:val="96"/>
      <w:szCs w:val="96"/>
    </w:rPr>
  </w:style>
  <w:style w:type="paragraph" w:styleId="Subtitle">
    <w:name w:val="Subtitle"/>
    <w:basedOn w:val="Normal"/>
    <w:next w:val="Normal"/>
    <w:uiPriority w:val="11"/>
    <w:qFormat/>
    <w:rPr>
      <w:rFonts w:ascii="Open Sans" w:eastAsia="Open Sans" w:hAnsi="Open Sans" w:cs="Open Sans"/>
      <w:color w:val="FF7800"/>
      <w:sz w:val="48"/>
      <w:szCs w:val="48"/>
    </w:rPr>
  </w:style>
  <w:style w:type="paragraph" w:styleId="Header">
    <w:name w:val="header"/>
    <w:basedOn w:val="Normal"/>
    <w:link w:val="HeaderChar"/>
    <w:uiPriority w:val="99"/>
    <w:unhideWhenUsed/>
    <w:rsid w:val="008B7903"/>
    <w:pPr>
      <w:tabs>
        <w:tab w:val="center" w:pos="4419"/>
        <w:tab w:val="right" w:pos="8838"/>
      </w:tabs>
    </w:pPr>
  </w:style>
  <w:style w:type="character" w:customStyle="1" w:styleId="HeaderChar">
    <w:name w:val="Header Char"/>
    <w:basedOn w:val="DefaultParagraphFont"/>
    <w:link w:val="Header"/>
    <w:uiPriority w:val="99"/>
    <w:rsid w:val="008B7903"/>
  </w:style>
  <w:style w:type="paragraph" w:styleId="Footer">
    <w:name w:val="footer"/>
    <w:basedOn w:val="Normal"/>
    <w:link w:val="FooterChar"/>
    <w:uiPriority w:val="99"/>
    <w:unhideWhenUsed/>
    <w:rsid w:val="008B7903"/>
    <w:pPr>
      <w:tabs>
        <w:tab w:val="center" w:pos="4419"/>
        <w:tab w:val="right" w:pos="8838"/>
      </w:tabs>
    </w:pPr>
  </w:style>
  <w:style w:type="character" w:customStyle="1" w:styleId="FooterChar">
    <w:name w:val="Footer Char"/>
    <w:basedOn w:val="DefaultParagraphFont"/>
    <w:link w:val="Footer"/>
    <w:uiPriority w:val="99"/>
    <w:rsid w:val="008B7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HgZnolzsk/LtJgxj+oQEpfScuQ==">CgMxLjA4AHIhMXZyUWhIbUtoYWhRQUtONTNrUnVjNi1fbUFHY2U3bzV6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1194</Words>
  <Characters>6806</Characters>
  <Application>Microsoft Office Word</Application>
  <DocSecurity>8</DocSecurity>
  <Lines>56</Lines>
  <Paragraphs>15</Paragraphs>
  <ScaleCrop>false</ScaleCrop>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Tina Minkowitz</cp:lastModifiedBy>
  <cp:revision>3</cp:revision>
  <dcterms:created xsi:type="dcterms:W3CDTF">2026-08-03T15:48:00Z</dcterms:created>
  <dcterms:modified xsi:type="dcterms:W3CDTF">2026-08-03T16:05:00Z</dcterms:modified>
</cp:coreProperties>
</file>