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Default Extension="png" ContentType="image/pn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BC3" w:rsidRDefault="00823BC3" w:rsidP="00823BC3">
      <w:pPr>
        <w:rPr>
          <w:rFonts w:ascii="Abadi MT Condensed Extra Bold" w:hAnsi="Abadi MT Condensed Extra Bold"/>
          <w:sz w:val="28"/>
        </w:rPr>
      </w:pPr>
      <w:r>
        <w:rPr>
          <w:noProof/>
        </w:rPr>
        <w:drawing>
          <wp:inline distT="0" distB="0" distL="0" distR="0">
            <wp:extent cx="914400" cy="914400"/>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0" cy="914400"/>
                    </a:xfrm>
                    <a:prstGeom prst="rect">
                      <a:avLst/>
                    </a:prstGeom>
                    <a:noFill/>
                    <a:ln w="9525">
                      <a:noFill/>
                      <a:miter lim="800000"/>
                      <a:headEnd/>
                      <a:tailEnd/>
                    </a:ln>
                  </pic:spPr>
                </pic:pic>
              </a:graphicData>
            </a:graphic>
          </wp:inline>
        </w:drawing>
      </w:r>
    </w:p>
    <w:p w:rsidR="00823BC3" w:rsidRDefault="00823BC3" w:rsidP="00823BC3">
      <w:pPr>
        <w:rPr>
          <w:rFonts w:ascii="Abadi MT Condensed Extra Bold" w:hAnsi="Abadi MT Condensed Extra Bold"/>
          <w:sz w:val="28"/>
        </w:rPr>
      </w:pPr>
      <w:r w:rsidRPr="00E82B55">
        <w:rPr>
          <w:rFonts w:ascii="Abadi MT Condensed Extra Bold" w:hAnsi="Abadi MT Condensed Extra Bold"/>
          <w:sz w:val="28"/>
        </w:rPr>
        <w:t xml:space="preserve">Center for the Human Rights of </w:t>
      </w:r>
    </w:p>
    <w:p w:rsidR="00823BC3" w:rsidRPr="00432E8B" w:rsidRDefault="00823BC3" w:rsidP="00823BC3">
      <w:pPr>
        <w:rPr>
          <w:rFonts w:ascii="Abadi MT Condensed Extra Bold" w:hAnsi="Abadi MT Condensed Extra Bold"/>
          <w:sz w:val="28"/>
        </w:rPr>
      </w:pPr>
      <w:r w:rsidRPr="00E82B55">
        <w:rPr>
          <w:rFonts w:ascii="Abadi MT Condensed Extra Bold" w:hAnsi="Abadi MT Condensed Extra Bold"/>
          <w:sz w:val="28"/>
        </w:rPr>
        <w:t>Users and Survivors of Psychiatry</w:t>
      </w:r>
    </w:p>
    <w:p w:rsidR="00823BC3" w:rsidRPr="00290A67" w:rsidRDefault="00823BC3" w:rsidP="00823BC3">
      <w:pPr>
        <w:rPr>
          <w:rFonts w:ascii="Arial" w:hAnsi="Arial"/>
          <w:sz w:val="22"/>
        </w:rPr>
      </w:pPr>
      <w:r w:rsidRPr="00290A67">
        <w:rPr>
          <w:rFonts w:ascii="Arial" w:hAnsi="Arial"/>
          <w:sz w:val="22"/>
        </w:rPr>
        <w:t>www.chrusp.org</w:t>
      </w:r>
    </w:p>
    <w:p w:rsidR="00823BC3" w:rsidRPr="00823BC3" w:rsidRDefault="00823BC3" w:rsidP="00823BC3">
      <w:pPr>
        <w:rPr>
          <w:rFonts w:ascii="Arial" w:hAnsi="Arial"/>
          <w:sz w:val="22"/>
        </w:rPr>
      </w:pPr>
      <w:r w:rsidRPr="00290A67">
        <w:rPr>
          <w:rFonts w:ascii="Arial" w:hAnsi="Arial"/>
          <w:sz w:val="22"/>
        </w:rPr>
        <w:t>tminkowitz@earthlink.net</w:t>
      </w:r>
    </w:p>
    <w:p w:rsidR="00823BC3" w:rsidRDefault="00823BC3" w:rsidP="00823BC3">
      <w:r>
        <w:tab/>
      </w:r>
      <w:r>
        <w:tab/>
      </w:r>
      <w:r>
        <w:tab/>
      </w:r>
      <w:r>
        <w:tab/>
      </w:r>
      <w:r>
        <w:tab/>
      </w:r>
      <w:r>
        <w:tab/>
      </w:r>
      <w:r>
        <w:tab/>
      </w:r>
    </w:p>
    <w:p w:rsidR="00823BC3" w:rsidRDefault="00823BC3" w:rsidP="00823BC3">
      <w:r>
        <w:t>November 19, 2012</w:t>
      </w:r>
    </w:p>
    <w:p w:rsidR="00823BC3" w:rsidRDefault="00823BC3" w:rsidP="00823BC3"/>
    <w:p w:rsidR="00823BC3" w:rsidRDefault="00823BC3" w:rsidP="00823BC3">
      <w:r>
        <w:t>Dear Members of the Committee on the Rights of Persons with Disabilities:</w:t>
      </w:r>
    </w:p>
    <w:p w:rsidR="00823BC3" w:rsidRDefault="00823BC3" w:rsidP="00823BC3"/>
    <w:p w:rsidR="00823BC3" w:rsidRDefault="00823BC3" w:rsidP="00823BC3">
      <w:r>
        <w:t xml:space="preserve">The work of the Committee to date on issues affecting persons with psychosocial disabilities has for the most part been stellar.  The recent Concluding Observations on China are exemplary, in particular the comments on Articles 12 and 25 that provide valuable guidance to all countries as to the measures required to implement changes in law and policy to guarantee respect for the decision-making rights of persons with disabilities and to ensure that mental health services conform to the requirements of human rights and the social model of psychosocial disability.  The consistent articulation of the standard that mental health services must be based on free and informed consent of the person concerned, which has come mostly under Article 14, is also especially welcome, as is the recognition of forcible medication with </w:t>
      </w:r>
      <w:proofErr w:type="spellStart"/>
      <w:r>
        <w:t>neuroleptics</w:t>
      </w:r>
      <w:proofErr w:type="spellEnd"/>
      <w:r>
        <w:t xml:space="preserve"> as a form of torture and ill-treatment.</w:t>
      </w:r>
    </w:p>
    <w:p w:rsidR="00823BC3" w:rsidRDefault="00823BC3" w:rsidP="00823BC3"/>
    <w:p w:rsidR="00823BC3" w:rsidRDefault="00823BC3" w:rsidP="00823BC3">
      <w:r>
        <w:t>In that context, I would like to draw your attention to concerns in regard to the Concluding Observations on Argentina, and also in regard to the section dealing with Hong Kong SAR, in the Concluding Observations on China.</w:t>
      </w:r>
    </w:p>
    <w:p w:rsidR="00823BC3" w:rsidRDefault="00823BC3" w:rsidP="00823BC3"/>
    <w:p w:rsidR="00823BC3" w:rsidRDefault="00823BC3" w:rsidP="00823BC3">
      <w:pPr>
        <w:pStyle w:val="ListParagraph"/>
        <w:numPr>
          <w:ilvl w:val="0"/>
          <w:numId w:val="1"/>
        </w:numPr>
      </w:pPr>
      <w:r>
        <w:t>The Committee’s approach to Argentina’s national mental health law under Article 14 risks being misunderstood as condoning legal provisions that authorize involuntary detention and involuntary treatment in mental health settings, contrary to the Committee’s clear recommendations to other countries to repeal such legal provisions.  It is especially unclear on what basis the Committee concluded that the NMHL was based on a human rights model of disability, since involuntary treatment and involuntary detention are directly opposed to the human rights of persons with psychosocial disabilities.  The Committee must be even-handed in its treatment of all countries.  Even if there might have been aspects of the NMHL that warranted praise, failure to notice and recommend repeal of provisions that violate Article 14 is an error.</w:t>
      </w:r>
    </w:p>
    <w:p w:rsidR="00823BC3" w:rsidRDefault="00823BC3" w:rsidP="00823BC3">
      <w:pPr>
        <w:pStyle w:val="ListParagraph"/>
      </w:pPr>
    </w:p>
    <w:p w:rsidR="00823BC3" w:rsidRDefault="00823BC3" w:rsidP="00823BC3">
      <w:pPr>
        <w:pStyle w:val="ListParagraph"/>
        <w:numPr>
          <w:ilvl w:val="0"/>
          <w:numId w:val="1"/>
        </w:numPr>
      </w:pPr>
      <w:r>
        <w:t xml:space="preserve">The Committee’s comments on persons declared </w:t>
      </w:r>
      <w:proofErr w:type="spellStart"/>
      <w:r>
        <w:t>uninmputable</w:t>
      </w:r>
      <w:proofErr w:type="spellEnd"/>
      <w:r>
        <w:t xml:space="preserve">, also under Article 14 in the Concluding Observations on Argentina, unfortunately did not benefit from the expertise of the World Network of Users and Survivors of Psychiatry and contradict the standard adopted by the Office of the High Commissioner for Human Rights, which recommended abolition of a defense based on the negation of criminal responsibility based on psychosocial or intellectual disability and application of disability-neutral doctrines instead, such as the subjective element of the crime, while taking account of the situation of the individual defendant.  OHCHR treated criminal responsibility as an aspect of legal capacity under Article 12, adopting a position expressed by WNUSP and the IDA CRPD Forum.  To quote the Universal Declaration of Human Rights, “Everyone has duties to the community in which alone the free and full development of his/her personality is possible.”  We seek comprehensive reform of criminal justice systems including exploration of the potential of restorative/transformative justice applies without discrimination based on disability, gender or other factors, and not “special” treatment that marginalizes persons with psychosocial disabilities and creates unnecessary anxiety about what to do when a person with psychosocial disability commits a crime.  Furthermore, under Article 14, no one may be deprived of liberty based on a disability, and persons with disabilities under any form of detention are entitled to equal guarantees and to reasonable accommodation.  Security measures applied after a determination of </w:t>
      </w:r>
      <w:proofErr w:type="spellStart"/>
      <w:r>
        <w:t>unimputability</w:t>
      </w:r>
      <w:proofErr w:type="spellEnd"/>
      <w:r>
        <w:t xml:space="preserve"> are necessary based on the existence of a disability and in practice amount to psychiatric institutionalization without free and informed consent.  The Committee may be well advised to conduct a Day of General Discussion on persons with disabilities accused or convicted of crimes, so as to benefit from a full airing of views on the many issues involved.</w:t>
      </w:r>
    </w:p>
    <w:p w:rsidR="00823BC3" w:rsidRDefault="00823BC3" w:rsidP="00823BC3">
      <w:pPr>
        <w:pStyle w:val="ListParagraph"/>
      </w:pPr>
    </w:p>
    <w:p w:rsidR="00823BC3" w:rsidRDefault="00823BC3" w:rsidP="00823BC3">
      <w:pPr>
        <w:pStyle w:val="ListParagraph"/>
        <w:numPr>
          <w:ilvl w:val="0"/>
          <w:numId w:val="1"/>
        </w:numPr>
      </w:pPr>
      <w:r>
        <w:t xml:space="preserve">In the Concluding Observations on Hong Kong SAR, People’s Republic of China, under Article 10, the Committee notes a heightened suicide risk among persons with psychosocial disabilities and, while recommending that mental health services be provided based on free and informed consent of the person concerned, also recommends “a regular assessment of their suicide risk.”  Such an assessment of individuals is </w:t>
      </w:r>
      <w:proofErr w:type="gramStart"/>
      <w:r>
        <w:t>ill-advised</w:t>
      </w:r>
      <w:proofErr w:type="gramEnd"/>
      <w:r>
        <w:t xml:space="preserve"> and contradicts both the principle of free and informed consent and the right to privacy.  The Committee may wish to seek expert information from WNUSP and its networks regarding good practices and approaches to suicide, and in particular the work of David Webb is recommended and can be accessed at </w:t>
      </w:r>
      <w:hyperlink r:id="rId6" w:history="1">
        <w:r w:rsidRPr="000A6124">
          <w:rPr>
            <w:rStyle w:val="Hyperlink"/>
          </w:rPr>
          <w:t>www.thinkingaboutsuicide.com</w:t>
        </w:r>
      </w:hyperlink>
      <w:r>
        <w:t xml:space="preserve">, as well as the work of </w:t>
      </w:r>
      <w:proofErr w:type="spellStart"/>
      <w:r>
        <w:t>Shery</w:t>
      </w:r>
      <w:proofErr w:type="spellEnd"/>
      <w:r>
        <w:t xml:space="preserve"> Mead, which can be accessed at </w:t>
      </w:r>
      <w:hyperlink r:id="rId7" w:history="1">
        <w:r w:rsidRPr="000A6124">
          <w:rPr>
            <w:rStyle w:val="Hyperlink"/>
          </w:rPr>
          <w:t>www.mentalhealthpeers.com</w:t>
        </w:r>
      </w:hyperlink>
      <w:r>
        <w:t xml:space="preserve">. </w:t>
      </w:r>
    </w:p>
    <w:p w:rsidR="00823BC3" w:rsidRDefault="00823BC3" w:rsidP="00823BC3"/>
    <w:p w:rsidR="00823BC3" w:rsidRDefault="00823BC3" w:rsidP="00823BC3">
      <w:r>
        <w:t>In closing, thank you for your consideration of my opinions.  I write as an individual expert who contributed substantially to the drafting of the CRPD text on behalf of WNUSP in these matters, and for the Center for the Human Rights of Users and Survivors of Psychiatry, which is a member of WNUSP.</w:t>
      </w:r>
    </w:p>
    <w:p w:rsidR="00823BC3" w:rsidRDefault="00823BC3" w:rsidP="00823BC3"/>
    <w:p w:rsidR="00823BC3" w:rsidRDefault="00823BC3" w:rsidP="00823BC3">
      <w:r>
        <w:t>Yours truly,</w:t>
      </w:r>
    </w:p>
    <w:p w:rsidR="00823BC3" w:rsidRDefault="00823BC3" w:rsidP="00823BC3"/>
    <w:p w:rsidR="00823BC3" w:rsidRDefault="00823BC3" w:rsidP="00823BC3"/>
    <w:p w:rsidR="00823BC3" w:rsidRDefault="00823BC3" w:rsidP="00823BC3"/>
    <w:p w:rsidR="00823BC3" w:rsidRDefault="00823BC3" w:rsidP="00823BC3">
      <w:r>
        <w:t>Tina Minkowitz</w:t>
      </w:r>
    </w:p>
    <w:p w:rsidR="00093355" w:rsidRDefault="00823BC3"/>
    <w:sectPr w:rsidR="00093355" w:rsidSect="00823BC3">
      <w:pgSz w:w="12240" w:h="15840"/>
      <w:pgMar w:top="1296" w:right="1584" w:bottom="1296" w:left="1584"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badi MT Condensed Extra Bold">
    <w:panose1 w:val="020B0A060301010101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64207"/>
    <w:multiLevelType w:val="hybridMultilevel"/>
    <w:tmpl w:val="CD164E7C"/>
    <w:lvl w:ilvl="0" w:tplc="CF22FB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23BC3"/>
    <w:rsid w:val="00823BC3"/>
  </w:rsids>
  <m:mathPr>
    <m:mathFont m:val="TimesNew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BC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823BC3"/>
    <w:pPr>
      <w:ind w:left="720"/>
      <w:contextualSpacing/>
    </w:pPr>
  </w:style>
  <w:style w:type="character" w:styleId="Hyperlink">
    <w:name w:val="Hyperlink"/>
    <w:basedOn w:val="DefaultParagraphFont"/>
    <w:uiPriority w:val="99"/>
    <w:semiHidden/>
    <w:unhideWhenUsed/>
    <w:rsid w:val="00823BC3"/>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webSettings" Target="webSettings.xml"/><Relationship Id="rId5" Type="http://schemas.openxmlformats.org/officeDocument/2006/relationships/image" Target="media/image1.png"/><Relationship Id="rId7" Type="http://schemas.openxmlformats.org/officeDocument/2006/relationships/hyperlink" Target="http://www.mentalhealthpeers.com" TargetMode="Externa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theme" Target="theme/theme1.xml"/><Relationship Id="rId3" Type="http://schemas.openxmlformats.org/officeDocument/2006/relationships/settings" Target="settings.xml"/><Relationship Id="rId6" Type="http://schemas.openxmlformats.org/officeDocument/2006/relationships/hyperlink" Target="http://www.thinkingaboutsuici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784</Words>
  <Characters>4474</Characters>
  <Application>Microsoft Macintosh Word</Application>
  <DocSecurity>0</DocSecurity>
  <Lines>37</Lines>
  <Paragraphs>8</Paragraphs>
  <ScaleCrop>false</ScaleCrop>
  <LinksUpToDate>false</LinksUpToDate>
  <CharactersWithSpaces>5494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Minkowitz</dc:creator>
  <cp:keywords/>
  <cp:lastModifiedBy>Tina Minkowitz</cp:lastModifiedBy>
  <cp:revision>1</cp:revision>
  <dcterms:created xsi:type="dcterms:W3CDTF">2012-11-19T19:40:00Z</dcterms:created>
  <dcterms:modified xsi:type="dcterms:W3CDTF">2012-11-19T19:44:00Z</dcterms:modified>
</cp:coreProperties>
</file>