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F033B" w14:textId="56CEA41F" w:rsidR="006C4D3A" w:rsidRDefault="006C4D3A" w:rsidP="006C4D3A">
      <w:pPr>
        <w:ind w:left="720"/>
        <w:rPr>
          <w:b/>
          <w:bCs/>
        </w:rPr>
      </w:pPr>
      <w:r>
        <w:rPr>
          <w:noProof/>
        </w:rPr>
        <w:drawing>
          <wp:inline distT="0" distB="0" distL="0" distR="0" wp14:anchorId="31AE23B4" wp14:editId="009C8570">
            <wp:extent cx="1690777" cy="1254148"/>
            <wp:effectExtent l="0" t="0" r="0" b="3175"/>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picture containing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0401" cy="1290957"/>
                    </a:xfrm>
                    <a:prstGeom prst="rect">
                      <a:avLst/>
                    </a:prstGeom>
                    <a:noFill/>
                    <a:ln>
                      <a:noFill/>
                    </a:ln>
                  </pic:spPr>
                </pic:pic>
              </a:graphicData>
            </a:graphic>
          </wp:inline>
        </w:drawing>
      </w:r>
    </w:p>
    <w:p w14:paraId="25BBD384" w14:textId="77777777" w:rsidR="006C4D3A" w:rsidRPr="005B4143" w:rsidRDefault="006C4D3A" w:rsidP="006C4D3A">
      <w:pPr>
        <w:ind w:left="720"/>
        <w:jc w:val="right"/>
      </w:pPr>
      <w:r>
        <w:t>August 31, 2022</w:t>
      </w:r>
    </w:p>
    <w:p w14:paraId="4C343C37" w14:textId="06618C48" w:rsidR="006C4D3A" w:rsidRDefault="006C4D3A"/>
    <w:p w14:paraId="6BEBF97A" w14:textId="77777777" w:rsidR="006C4D3A" w:rsidRDefault="006C4D3A" w:rsidP="006C4D3A">
      <w:pPr>
        <w:ind w:left="720"/>
        <w:rPr>
          <w:b/>
          <w:bCs/>
        </w:rPr>
      </w:pPr>
      <w:r w:rsidRPr="004140BB">
        <w:rPr>
          <w:b/>
          <w:bCs/>
        </w:rPr>
        <w:t>Comments on WHO/OHCHR draft Guidance on Mental Health-Related Legislation</w:t>
      </w:r>
    </w:p>
    <w:p w14:paraId="3BC2AA25" w14:textId="77777777" w:rsidR="006C4D3A" w:rsidRDefault="006C4D3A"/>
    <w:p w14:paraId="662B6A55" w14:textId="77777777" w:rsidR="00B16610" w:rsidRDefault="00B16610" w:rsidP="00B16610">
      <w:r>
        <w:t xml:space="preserve">The development of guidance on ‘mental health-related legislation’ under the leadership of WHO that is aimed at compliance with the CRPD leaves us in a quandary.  </w:t>
      </w:r>
    </w:p>
    <w:p w14:paraId="2A9B1D24" w14:textId="77777777" w:rsidR="00B16610" w:rsidRDefault="00B16610" w:rsidP="00B16610"/>
    <w:p w14:paraId="1BB9B4E3" w14:textId="77777777" w:rsidR="00B16610" w:rsidRDefault="00B16610" w:rsidP="00B16610">
      <w:r>
        <w:t xml:space="preserve">CHRUSP, together with another DPO of people with psychosocial disabilities, an allied NGO and an independent lawyer, opposed this project in an earlier stage of consultation when it became clear that it was an impossible and self-contradictory assignment given to WHO by the Human Rights Council.  </w:t>
      </w:r>
    </w:p>
    <w:p w14:paraId="3E5D34E4" w14:textId="77777777" w:rsidR="00B16610" w:rsidRDefault="00B16610" w:rsidP="00B16610"/>
    <w:p w14:paraId="18C2F329" w14:textId="77777777" w:rsidR="00B16610" w:rsidRDefault="00B16610" w:rsidP="00B16610">
      <w:r>
        <w:t xml:space="preserve">WHO is a health agency, its primary stakeholders are the health ministries of member states.  The CRPD by nature is opposed to placing the rights and freedoms of people with disabilities under the guidance of health authorities.  </w:t>
      </w:r>
    </w:p>
    <w:p w14:paraId="09F727B1" w14:textId="77777777" w:rsidR="00B16610" w:rsidRDefault="00B16610" w:rsidP="00B16610"/>
    <w:p w14:paraId="69BA62D3" w14:textId="151BE908" w:rsidR="00B16610" w:rsidRDefault="00B16610" w:rsidP="00B16610">
      <w:r>
        <w:t>Mental health-related legislation is a vague catch-all category that WHO has interpreted in various ways over the course of developing the draft Guidance, but in all its iterations it mirrors issues concerning the rights and freedoms of people with psychosocial disabilities that states have traditionally regulated both through stand-alone mental health legislation and other laws including Civil Codes and capacity laws, criminal law and criminal procedure, family law, and social protection law.  While the scope has been continually pared down to answer the concern of overstepping a health agency’s sphere of expertise, the core problem is not only the overbreadth of scope but the interpretation of the CRPD’s guarantee of equal rights and freedoms through a ‘mental health’ lens.</w:t>
      </w:r>
    </w:p>
    <w:p w14:paraId="6AC787C8" w14:textId="03B1067C" w:rsidR="0056612A" w:rsidRDefault="0056612A" w:rsidP="00B16610"/>
    <w:p w14:paraId="39527C38" w14:textId="461DEA9C" w:rsidR="0056612A" w:rsidRPr="0056612A" w:rsidRDefault="0056612A" w:rsidP="00B16610">
      <w:pPr>
        <w:rPr>
          <w:u w:val="single"/>
        </w:rPr>
      </w:pPr>
      <w:r w:rsidRPr="0056612A">
        <w:rPr>
          <w:u w:val="single"/>
        </w:rPr>
        <w:t>A reparative justice approach to regulating mental health services</w:t>
      </w:r>
    </w:p>
    <w:p w14:paraId="2E6E3B54" w14:textId="77777777" w:rsidR="00B16610" w:rsidRDefault="00B16610" w:rsidP="00B16610"/>
    <w:p w14:paraId="55E6D6F6" w14:textId="77777777" w:rsidR="00B16610" w:rsidRDefault="00B16610" w:rsidP="00B16610">
      <w:r>
        <w:t xml:space="preserve">The development of ‘mental health’ as a theme in legislation could refer, instead, simply to the provision of mental health services.  Such services like any social measures provided by the state need to be regulated.  They should be instructed to comply with the CRPD in a policy sense by starting from a posture of humility towards those whom they seek to serve and those they have harmed in the past and continue harming in the present.  </w:t>
      </w:r>
    </w:p>
    <w:p w14:paraId="13D18638" w14:textId="77777777" w:rsidR="00B16610" w:rsidRDefault="00B16610" w:rsidP="00B16610"/>
    <w:p w14:paraId="6816C691" w14:textId="7A2C9B17" w:rsidR="00B16610" w:rsidRDefault="00B16610" w:rsidP="00B16610">
      <w:r>
        <w:t xml:space="preserve">Cessation of human rights violations is the first step towards reparative justice.  The first directive by the WHO as global health agency towards its member states should be to use their executive authority as well as seeking the cooperation of other branches of government to </w:t>
      </w:r>
      <w:r>
        <w:lastRenderedPageBreak/>
        <w:t>direct the immediate cessation of involuntary measures in all mental health settings.</w:t>
      </w:r>
      <w:r w:rsidR="00886DF2">
        <w:rPr>
          <w:rStyle w:val="FootnoteReference"/>
        </w:rPr>
        <w:footnoteReference w:id="1"/>
      </w:r>
      <w:r>
        <w:t xml:space="preserve">  This means ceasing the use of physical, chemical or mechanical restraints, solitary confinement, locked wards and any other means of preventing people from leaving when they so choose.  </w:t>
      </w:r>
    </w:p>
    <w:p w14:paraId="6B1FF6C7" w14:textId="77777777" w:rsidR="00B16610" w:rsidRDefault="00B16610" w:rsidP="00B16610"/>
    <w:p w14:paraId="1370748C" w14:textId="124BE1FD" w:rsidR="00A66354" w:rsidRDefault="00A66354">
      <w:r>
        <w:t xml:space="preserve">The state must also provide emergency social protection measures </w:t>
      </w:r>
      <w:r w:rsidR="009F5372">
        <w:t xml:space="preserve">that are not under the auspices of the health authority, and not institutional in nature, to assist people leaving the places where they have been kept against their will or without their fully free and informed consent.  </w:t>
      </w:r>
    </w:p>
    <w:p w14:paraId="04296ED8" w14:textId="448E1655" w:rsidR="009F5372" w:rsidRDefault="009F5372"/>
    <w:p w14:paraId="19FB87C2" w14:textId="49DF871E" w:rsidR="009F5372" w:rsidRDefault="009F5372">
      <w:r>
        <w:t>There must be firm directives</w:t>
      </w:r>
      <w:r w:rsidR="004A4C16">
        <w:t xml:space="preserve"> </w:t>
      </w:r>
      <w:r>
        <w:t xml:space="preserve">binding on all personnel in mental health services to refrain from administering any psychoactive drugs or procedures unless the person affirmatively consents after </w:t>
      </w:r>
      <w:r w:rsidR="00F42388">
        <w:t>disclosure of accurate information under conditions where they are free to refuse without intimidation</w:t>
      </w:r>
      <w:r w:rsidR="004A4C16">
        <w:t>, threats or incentives of any kind</w:t>
      </w:r>
      <w:r w:rsidR="00F42388">
        <w:t>.</w:t>
      </w:r>
      <w:r w:rsidR="004A4C16">
        <w:t xml:space="preserve">  Forced or non-consensual drugging, electroshock or psychosurgery should be criminalized as torture.</w:t>
      </w:r>
      <w:r w:rsidR="004A4C16">
        <w:rPr>
          <w:rStyle w:val="FootnoteReference"/>
        </w:rPr>
        <w:footnoteReference w:id="2"/>
      </w:r>
      <w:r w:rsidR="004A4C16">
        <w:t xml:space="preserve"> </w:t>
      </w:r>
    </w:p>
    <w:p w14:paraId="1F4F7340" w14:textId="46052090" w:rsidR="004A4C16" w:rsidRDefault="004A4C16"/>
    <w:p w14:paraId="798FE44B" w14:textId="01D8110B" w:rsidR="00EA7A58" w:rsidRDefault="00BD43EE">
      <w:r>
        <w:t xml:space="preserve">Mental health diagnostic schemes should be abandoned in favor of frameworks for accessible listening and communication.  The use of psychoactive drugs as tools of well-being should be addressed in all its complexity with a harm-reduction approach and an acknowledgement that </w:t>
      </w:r>
      <w:r w:rsidR="00EA7A58">
        <w:t>diagnosis-based prescribing has been premised on a falsehood (the chemical imbalance narrative that psychiatry promoted to secure its place within the medical professions) and has caused great harm.</w:t>
      </w:r>
      <w:r w:rsidR="00EA7A58">
        <w:rPr>
          <w:rStyle w:val="FootnoteReference"/>
        </w:rPr>
        <w:footnoteReference w:id="3"/>
      </w:r>
      <w:r w:rsidR="00EA7A58">
        <w:t xml:space="preserve"> </w:t>
      </w:r>
    </w:p>
    <w:p w14:paraId="55033DA1" w14:textId="77777777" w:rsidR="00EA7A58" w:rsidRDefault="00EA7A58"/>
    <w:p w14:paraId="03EFC017" w14:textId="77777777" w:rsidR="001B2785" w:rsidRDefault="00B21A70">
      <w:r>
        <w:t>Only after ceasing these serious human rights violations, can further discussions meaningfully take place about the place of the mental health sector compared with new forms of community-based and peer-based support practices</w:t>
      </w:r>
      <w:r w:rsidR="005C3CB4">
        <w:t xml:space="preserve">, personal assistance, traditional healing and well-being practices, in a human rights-based menu of options for people seeking support either with urgent needs (that could be called personal or life crisis), longer-term intensive needs or any other distress or difficulties they experience in relation to the diverse spectrum of mind, emotions, consciousness, communication or behavior.  </w:t>
      </w:r>
      <w:r w:rsidR="001B2785">
        <w:t>Convening of such discussion should be done under the auspices of agencies responsible for disability human rights and social well-being, not the health agency as that would replicate the old paradigm and its legacy of harms.</w:t>
      </w:r>
    </w:p>
    <w:p w14:paraId="2D523061" w14:textId="77777777" w:rsidR="001B2785" w:rsidRDefault="001B2785"/>
    <w:p w14:paraId="307201F5" w14:textId="1BDE5EFA" w:rsidR="00EA7A58" w:rsidRDefault="001B2785">
      <w:r>
        <w:t>Survivors have called for reparations for psychiatric institutionalization</w:t>
      </w:r>
      <w:r w:rsidR="009B4120">
        <w:t xml:space="preserve">, </w:t>
      </w:r>
      <w:r w:rsidR="00B24521">
        <w:t xml:space="preserve">and this is assuredly warranted given the serious character of the human rights violations at issue.  Discrimination that had earlier served to legitimize those violations to the state and the public is now rightly </w:t>
      </w:r>
      <w:r w:rsidR="00B24521">
        <w:lastRenderedPageBreak/>
        <w:t>acknowledged as being an exacerbating factor rather than an excuse.</w:t>
      </w:r>
      <w:r w:rsidR="00B24521">
        <w:rPr>
          <w:rStyle w:val="FootnoteReference"/>
        </w:rPr>
        <w:footnoteReference w:id="4"/>
      </w:r>
      <w:r w:rsidR="009B4120">
        <w:t xml:space="preserve">  </w:t>
      </w:r>
      <w:r w:rsidR="00B24521">
        <w:t xml:space="preserve">We cannot wait any longer.  </w:t>
      </w:r>
    </w:p>
    <w:p w14:paraId="3CEE6B6C" w14:textId="4DA2E9E8" w:rsidR="00B24521" w:rsidRDefault="00B24521"/>
    <w:p w14:paraId="7DF43807" w14:textId="1AB461E2" w:rsidR="0056612A" w:rsidRPr="0056612A" w:rsidRDefault="0056612A">
      <w:pPr>
        <w:rPr>
          <w:u w:val="single"/>
        </w:rPr>
      </w:pPr>
      <w:r w:rsidRPr="0056612A">
        <w:rPr>
          <w:u w:val="single"/>
        </w:rPr>
        <w:t>Steps forward</w:t>
      </w:r>
    </w:p>
    <w:p w14:paraId="7E96EB8B" w14:textId="77777777" w:rsidR="0056612A" w:rsidRDefault="0056612A"/>
    <w:p w14:paraId="727F70F7" w14:textId="5B06B14C" w:rsidR="00B24521" w:rsidRDefault="00B24521">
      <w:r>
        <w:t xml:space="preserve">First the violations must cease </w:t>
      </w:r>
      <w:r w:rsidR="008E33F7">
        <w:t xml:space="preserve">to place a moratorium on any further harm and allow survivors to begin a process towards social and personal healing and justice.  </w:t>
      </w:r>
    </w:p>
    <w:p w14:paraId="2ACC891A" w14:textId="03B471C8" w:rsidR="008E33F7" w:rsidRDefault="008E33F7"/>
    <w:p w14:paraId="77AF72D6" w14:textId="3ADB53DF" w:rsidR="00C967D5" w:rsidRDefault="008E33F7">
      <w:r>
        <w:t>WHO cannot divert that obligation into an endeavor to retrofit mental health systems and mental health-related legislation</w:t>
      </w:r>
      <w:r w:rsidR="00D164DD">
        <w:t xml:space="preserve"> </w:t>
      </w:r>
      <w:r>
        <w:t>to comply with the CRPD.  That cannot work because their very premises are incompatible.  Mental health-related legislation</w:t>
      </w:r>
      <w:r w:rsidR="00D164DD">
        <w:t xml:space="preserve"> as conceived in the draft Guidance</w:t>
      </w:r>
      <w:r>
        <w:t xml:space="preserve"> views the legal capacity, liberty and integrity rights of people with psychosocial disabilities as inherently problematic and seeks to guide actors in various sectors as to how to </w:t>
      </w:r>
      <w:r w:rsidR="00C967D5">
        <w:t>manage the exercise of these rights (or their restriction or nullification) through a health lens.  That is the opposite of the CRPD, which itself began the journey of survivors towards reparative justice.</w:t>
      </w:r>
      <w:r w:rsidR="00D164DD">
        <w:t xml:space="preserve">  </w:t>
      </w:r>
    </w:p>
    <w:p w14:paraId="0B2D74FF" w14:textId="69EE0C16" w:rsidR="00871C0D" w:rsidRDefault="00871C0D"/>
    <w:p w14:paraId="55B81880" w14:textId="77777777" w:rsidR="0039487C" w:rsidRDefault="0039487C">
      <w:r>
        <w:t xml:space="preserve">The regulation of mental health services to comply with the CRPD cannot be married to an agenda of expanding mental health budgets or promoting a narrative of mental health according to WHO’s definition that remains centered on pathologizing diversity (see accompanying notes on the text).  </w:t>
      </w:r>
    </w:p>
    <w:p w14:paraId="58B37E4F" w14:textId="77777777" w:rsidR="0039487C" w:rsidRDefault="0039487C"/>
    <w:p w14:paraId="3C7DB623" w14:textId="08CDCC56" w:rsidR="008E33F7" w:rsidRDefault="00081459">
      <w:r>
        <w:t>It is doubtful that WHO has the capability or the willingness to take a reparative approach to legislation to repair the harm done by the sector it represents over</w:t>
      </w:r>
      <w:r w:rsidR="00AB6F2E">
        <w:t xml:space="preserve"> more than a century and across the world.  In that case, the work should be undertaken by disability human rights mechanisms and presented to WHO for dissemination to its member states.  Such a process</w:t>
      </w:r>
      <w:r w:rsidR="006D1939">
        <w:t xml:space="preserve"> must entail close and active collaboration with people with psychosocial disabilities and survivors of psychiatric institutionalization, following the example of the CRPD Committee’s process of developing the Guidelines on Deinstitutionalization.  </w:t>
      </w:r>
    </w:p>
    <w:p w14:paraId="5A24B809" w14:textId="4DB52555" w:rsidR="00AB6F2E" w:rsidRDefault="00AB6F2E"/>
    <w:p w14:paraId="3BD0D0DF" w14:textId="3F428217" w:rsidR="00E87146" w:rsidRDefault="00D43301">
      <w:r>
        <w:t xml:space="preserve">The current draft Guidance is furthermore counterproductive because it raises uncertainty in core standards under the CRPD by explicating at length, and not constructively in our view, issues that the CRPD Committee has dealt with more schematically – </w:t>
      </w:r>
      <w:r w:rsidR="00E87146">
        <w:t xml:space="preserve">including but not limited to criminal responsibility and ‘best interpretation of will and preferences’.  </w:t>
      </w:r>
    </w:p>
    <w:p w14:paraId="03CDD05E" w14:textId="09BF6039" w:rsidR="00E87146" w:rsidRDefault="00E87146"/>
    <w:p w14:paraId="0DDB2C6A" w14:textId="1E5E11F5" w:rsidR="00E87146" w:rsidRDefault="00E87146">
      <w:r>
        <w:t xml:space="preserve">As the </w:t>
      </w:r>
      <w:r w:rsidR="00CC7744">
        <w:t xml:space="preserve">obligation of states parties under the CRPD to conform their legislation to the requirements of that Convention is a core requirement under Article 4, it is likely that states will take WHO’s more detailed interpretation of the Convention’s requirements as a basis for their own actions.  The CRPD Committee will then be faced with deciding whether these actions comply with the Convention, and will not have other comparable sources that are readily available.  They will then need to seek out experts in civil society, including those who are survivors of institutionalization and people with psychosocial disabilities and are closely </w:t>
      </w:r>
      <w:r w:rsidR="00CC7744">
        <w:lastRenderedPageBreak/>
        <w:t xml:space="preserve">involved with normative development </w:t>
      </w:r>
      <w:r w:rsidR="009F7E11">
        <w:t xml:space="preserve">at the global level.  These processes greatly increase the risk that states will maintain a ‘mental health’ lens over the rights and freedoms of people with psychosocial disabilities, the support offered to them, and </w:t>
      </w:r>
      <w:r w:rsidR="007B05DF">
        <w:t xml:space="preserve">the </w:t>
      </w:r>
      <w:r w:rsidR="00EF40BB">
        <w:t xml:space="preserve">forms taken by awareness-raising campaigns and anti-discrimination campaigns.  While they may be included perfunctorily in general CRPD implementation the primary arena of policymaking will be in the mental health sector, as it was pre-CRPD and remains today in many countries.  </w:t>
      </w:r>
    </w:p>
    <w:p w14:paraId="19E3AC2A" w14:textId="4E5077A9" w:rsidR="007B7D6F" w:rsidRDefault="007B7D6F"/>
    <w:p w14:paraId="23AD3390" w14:textId="738B34D5" w:rsidR="0056612A" w:rsidRDefault="007B7D6F">
      <w:r>
        <w:t>To prevent this unhappy result for people with psychosocial disabilities and/or survivors of psychiatric institutionalization and proceed in a reparative manner consistent with the serious character of the human rights violations for which the mental health sector is accountable, the draft Guidance should be withdrawn and the Human Rights Council should modify its request as indicated in these comments.</w:t>
      </w:r>
    </w:p>
    <w:p w14:paraId="42E24930" w14:textId="7E1E9D16" w:rsidR="00EF40BB" w:rsidRDefault="00EF40BB">
      <w:pPr>
        <w:pBdr>
          <w:bottom w:val="dotted" w:sz="24" w:space="1" w:color="auto"/>
        </w:pBdr>
      </w:pPr>
    </w:p>
    <w:p w14:paraId="79252B82" w14:textId="77777777" w:rsidR="006C4D3A" w:rsidRDefault="006C4D3A"/>
    <w:p w14:paraId="0CF0368C" w14:textId="77777777" w:rsidR="006C4D3A" w:rsidRDefault="006C4D3A" w:rsidP="006C4D3A">
      <w:r>
        <w:t xml:space="preserve">The Center of the Human Rights of Users and Survivors of Psychiatry (CHRUSP) is a non-membership DPO taking a survivor of psychiatry perspective, with board members in the United States and in Singapore and networks reaching throughout the world in our Absolute Prohibition Campaign.  CHRUSP board members all identify as survivors of institutionalization.  </w:t>
      </w:r>
    </w:p>
    <w:p w14:paraId="766961E9" w14:textId="77777777" w:rsidR="006C4D3A" w:rsidRDefault="006C4D3A" w:rsidP="006C4D3A"/>
    <w:p w14:paraId="4ACBE528" w14:textId="77777777" w:rsidR="005C53DC" w:rsidRDefault="006C4D3A">
      <w:r>
        <w:t>CHRUSP and its individual board members regularly contribute to the work of the Committee on the Rights of Persons with Disabilities and other UN human rights mechanisms, advise DPOs, NGOs, individual rights holders, researchers and state entities regarding the application of the CRPD, and collaborate with other organizations in our human rights work.  CHRUSP promotes a reparations approach to deinstitutionalization and organized a side event on ‘Remedy and Reparation for Institutionalization’ at the most recent Conference of States Parties, in cooperation with Transforming Communities for Inclusion</w:t>
      </w:r>
      <w:r w:rsidR="005C53DC">
        <w:t>-</w:t>
      </w:r>
      <w:r>
        <w:t>TCI and Validity Foundation.</w:t>
      </w:r>
    </w:p>
    <w:p w14:paraId="5AD4EB8D" w14:textId="77777777" w:rsidR="005C53DC" w:rsidRDefault="005C53DC"/>
    <w:p w14:paraId="43384239" w14:textId="1FE2CAD5" w:rsidR="006C4D3A" w:rsidRDefault="005C53DC">
      <w:r>
        <w:t xml:space="preserve">Please see </w:t>
      </w:r>
      <w:hyperlink r:id="rId8" w:history="1">
        <w:r w:rsidRPr="004151DF">
          <w:rPr>
            <w:rStyle w:val="Hyperlink"/>
          </w:rPr>
          <w:t>www.chrusp.org</w:t>
        </w:r>
      </w:hyperlink>
      <w:r>
        <w:t xml:space="preserve"> or contact </w:t>
      </w:r>
      <w:hyperlink r:id="rId9" w:history="1">
        <w:r w:rsidRPr="004151DF">
          <w:rPr>
            <w:rStyle w:val="Hyperlink"/>
          </w:rPr>
          <w:t>info@chrusp.org</w:t>
        </w:r>
      </w:hyperlink>
      <w:r>
        <w:t xml:space="preserve"> for more information.</w:t>
      </w:r>
      <w:r w:rsidR="006C4D3A">
        <w:br w:type="page"/>
      </w:r>
    </w:p>
    <w:p w14:paraId="26E2BE10" w14:textId="25563680" w:rsidR="00B67D6D" w:rsidRDefault="006C4D3A" w:rsidP="00B67D6D">
      <w:pPr>
        <w:pStyle w:val="ListParagraph"/>
        <w:rPr>
          <w:b/>
          <w:bCs/>
        </w:rPr>
      </w:pPr>
      <w:r>
        <w:rPr>
          <w:b/>
          <w:bCs/>
        </w:rPr>
        <w:lastRenderedPageBreak/>
        <w:t>Annex: Notes on the text of draft Guidance on mental health-related legislation</w:t>
      </w:r>
    </w:p>
    <w:p w14:paraId="77758944" w14:textId="731FDB74" w:rsidR="00B67D6D" w:rsidRDefault="00B67D6D" w:rsidP="00B67D6D">
      <w:pPr>
        <w:pStyle w:val="ListParagraph"/>
        <w:rPr>
          <w:b/>
          <w:bCs/>
        </w:rPr>
      </w:pPr>
    </w:p>
    <w:p w14:paraId="2832E4C2" w14:textId="6403137A" w:rsidR="00B67D6D" w:rsidRPr="00B67D6D" w:rsidRDefault="00B67D6D" w:rsidP="00B67D6D">
      <w:pPr>
        <w:pStyle w:val="ListParagraph"/>
      </w:pPr>
      <w:r>
        <w:t xml:space="preserve">These </w:t>
      </w:r>
      <w:r w:rsidR="00707E4F">
        <w:t>notes</w:t>
      </w:r>
      <w:r>
        <w:t xml:space="preserve"> are far from comprehensive and do not reflect the totality of our disagreement with </w:t>
      </w:r>
      <w:r w:rsidR="00707E4F">
        <w:t>the particulars of the text.  We have not provided line comments as the document is fundamentally flawed in concept and design.</w:t>
      </w:r>
    </w:p>
    <w:p w14:paraId="601DEE74" w14:textId="77777777" w:rsidR="00B67D6D" w:rsidRDefault="00B67D6D" w:rsidP="006C4D3A">
      <w:pPr>
        <w:pStyle w:val="ListParagraph"/>
        <w:rPr>
          <w:u w:val="single"/>
        </w:rPr>
      </w:pPr>
    </w:p>
    <w:p w14:paraId="33C3DFE4" w14:textId="77777777" w:rsidR="006C4D3A" w:rsidRDefault="006C4D3A" w:rsidP="006C4D3A">
      <w:pPr>
        <w:pStyle w:val="ListParagraph"/>
        <w:rPr>
          <w:u w:val="single"/>
        </w:rPr>
      </w:pPr>
      <w:r w:rsidRPr="003B4651">
        <w:rPr>
          <w:u w:val="single"/>
        </w:rPr>
        <w:t>Legal capacity and a disability perspective on distress, consciousness and communication</w:t>
      </w:r>
    </w:p>
    <w:p w14:paraId="7C710963" w14:textId="77777777" w:rsidR="006C4D3A" w:rsidRPr="003B4651" w:rsidRDefault="006C4D3A" w:rsidP="006C4D3A">
      <w:pPr>
        <w:pStyle w:val="ListParagraph"/>
        <w:rPr>
          <w:u w:val="single"/>
        </w:rPr>
      </w:pPr>
    </w:p>
    <w:p w14:paraId="178219D2" w14:textId="77777777" w:rsidR="006C4D3A" w:rsidRDefault="006C4D3A" w:rsidP="006C4D3A">
      <w:pPr>
        <w:pStyle w:val="ListParagraph"/>
        <w:numPr>
          <w:ilvl w:val="0"/>
          <w:numId w:val="1"/>
        </w:numPr>
      </w:pPr>
      <w:r>
        <w:t>The document distrusts the exercise of legal capacity, decision making and communication by people experiencing life crisis or distress or whose diversity (such as hearing voices, holding idiosyncratic beliefs, and other unique forms of subjectivity) has been pathologized.</w:t>
      </w:r>
    </w:p>
    <w:p w14:paraId="752554B1" w14:textId="77777777" w:rsidR="006C4D3A" w:rsidRDefault="006C4D3A" w:rsidP="006C4D3A">
      <w:pPr>
        <w:pStyle w:val="ListParagraph"/>
      </w:pPr>
    </w:p>
    <w:p w14:paraId="342F0E7A" w14:textId="77777777" w:rsidR="006C4D3A" w:rsidRDefault="006C4D3A" w:rsidP="006C4D3A">
      <w:pPr>
        <w:pStyle w:val="ListParagraph"/>
        <w:numPr>
          <w:ilvl w:val="0"/>
          <w:numId w:val="1"/>
        </w:numPr>
      </w:pPr>
      <w:r>
        <w:t xml:space="preserve">Accessible communication, acceptance of diversity and universal design of systems throughout society to include people with psychosocial disabilities on an equal basis with others, and the implications of this for mental health services, is never addressed.  This gap betrays a failure to understand the application of the social model of disability to psychosocial disability as promoted and advanced through the CRPD.  (See General Comment No. 1, particularly paragraphs 13-16.)  </w:t>
      </w:r>
    </w:p>
    <w:p w14:paraId="0C4B21AF" w14:textId="77777777" w:rsidR="006C4D3A" w:rsidRDefault="006C4D3A" w:rsidP="006C4D3A">
      <w:pPr>
        <w:pStyle w:val="ListParagraph"/>
      </w:pPr>
    </w:p>
    <w:p w14:paraId="3957F55D" w14:textId="77777777" w:rsidR="006C4D3A" w:rsidRDefault="006C4D3A" w:rsidP="006C4D3A">
      <w:pPr>
        <w:pStyle w:val="ListParagraph"/>
        <w:numPr>
          <w:ilvl w:val="0"/>
          <w:numId w:val="1"/>
        </w:numPr>
      </w:pPr>
      <w:r>
        <w:t>There is no acknowledgement that free and informed consent includes states’ obligation to make non-medical options available for dealing with distress and crisis and accommodating diversity (General Comment No. 1 paragraph 42).  This cannot be understood narrowly as only ‘non-drug’ options but also ‘non-diagnostic’ options and options entirely outside the purview of the mental health system and that should not be brought within it but rather funded as disability-related social services (such as personal assistance, peer support, support networks, social-model crisis support and crisis respite).</w:t>
      </w:r>
    </w:p>
    <w:p w14:paraId="7E6CD2DD" w14:textId="77777777" w:rsidR="006C4D3A" w:rsidRDefault="006C4D3A" w:rsidP="006C4D3A">
      <w:pPr>
        <w:pStyle w:val="ListParagraph"/>
      </w:pPr>
    </w:p>
    <w:p w14:paraId="2FE25F93" w14:textId="77777777" w:rsidR="006C4D3A" w:rsidRDefault="006C4D3A" w:rsidP="006C4D3A">
      <w:pPr>
        <w:pStyle w:val="ListParagraph"/>
        <w:numPr>
          <w:ilvl w:val="0"/>
          <w:numId w:val="1"/>
        </w:numPr>
      </w:pPr>
      <w:r>
        <w:t>In that sense free and informed consent to mental health services requires abandoning the use of ‘mental health experience’ or ‘mental health condition’ or ‘mental health crisis’ as frames of references, and instead describing in ordinary language people’s experiences and needs, which they can meet in diverse ways of which mental health services are only one.  This is essential in framing legislation on either rights or entitlements.  It is also relevant to how life crisis, distress and diversity should be understood differently by mental health systems if those systems are to free themselves of their past and present arrogance and make amends for their aggression that has amounted to psychological and physical torture (see A/HRC/43/49 generally and paragraph 37, and E/CN.4/1986/15 paragraph 119).</w:t>
      </w:r>
    </w:p>
    <w:p w14:paraId="1A794479" w14:textId="77777777" w:rsidR="006C4D3A" w:rsidRDefault="006C4D3A" w:rsidP="006C4D3A">
      <w:pPr>
        <w:pStyle w:val="ListParagraph"/>
      </w:pPr>
    </w:p>
    <w:p w14:paraId="3944A708" w14:textId="77777777" w:rsidR="006C4D3A" w:rsidRDefault="006C4D3A" w:rsidP="006C4D3A">
      <w:pPr>
        <w:pStyle w:val="ListParagraph"/>
        <w:numPr>
          <w:ilvl w:val="0"/>
          <w:numId w:val="1"/>
        </w:numPr>
      </w:pPr>
      <w:r>
        <w:t xml:space="preserve">Framed as ‘life crisis, distress and diversity’ the absolute necessity of accessible communication, acceptance of diverse ways of communicating and diverse ways of </w:t>
      </w:r>
      <w:r>
        <w:lastRenderedPageBreak/>
        <w:t>being in the world, providing accommodations and support is an altogether different approach than ‘treatment’ of a ‘health condition’.</w:t>
      </w:r>
    </w:p>
    <w:p w14:paraId="19C8A5EA" w14:textId="77777777" w:rsidR="006C4D3A" w:rsidRDefault="006C4D3A" w:rsidP="006C4D3A">
      <w:pPr>
        <w:pStyle w:val="ListParagraph"/>
      </w:pPr>
    </w:p>
    <w:p w14:paraId="4191CAD7" w14:textId="77777777" w:rsidR="006C4D3A" w:rsidRDefault="006C4D3A" w:rsidP="006C4D3A">
      <w:pPr>
        <w:pStyle w:val="ListParagraph"/>
        <w:numPr>
          <w:ilvl w:val="0"/>
          <w:numId w:val="1"/>
        </w:numPr>
      </w:pPr>
      <w:r>
        <w:t xml:space="preserve">These obligations reframe the place of mental health services in three ways.  First they mean changing the social environment rather than designing services as the primary level of meeting people’s needs.  Second they set aside the privileged position of psy disciplines, professions and industries (i.e. the mental health sector, pharmaceutical and electroshock manufacturers, hospitals and social care institutions, group homes and halfway houses, etc.) that have given us a legacy of serious harm and abuse, and allow us to develop new practices.  Third, they allow us to specify criteria for how mental health services could be practiced without carrying over either the physical violence of forced drugging and restraint, confinement in locked wards, etc., or the psychological violence of negating individual subjectivity through diagnosis and the lie of ‘chemical imbalance’ sold to the public and to people with psychosocial disabilities themselves.  (See Joanna Moncrieff et al (2022), </w:t>
      </w:r>
      <w:hyperlink r:id="rId10" w:history="1">
        <w:r w:rsidRPr="004151DF">
          <w:rPr>
            <w:rStyle w:val="Hyperlink"/>
          </w:rPr>
          <w:t>https://www.nature.com/articles/s41380-022-01661-0</w:t>
        </w:r>
      </w:hyperlink>
      <w:r>
        <w:t xml:space="preserve">, and </w:t>
      </w:r>
      <w:hyperlink r:id="rId11" w:history="1">
        <w:r w:rsidRPr="004151DF">
          <w:rPr>
            <w:rStyle w:val="Hyperlink"/>
          </w:rPr>
          <w:t>https://www.madinamerica.com/2022/08/psychiatry-fraud-and-the-case-for-a-class-action-lawsuit/</w:t>
        </w:r>
      </w:hyperlink>
      <w:r>
        <w:t xml:space="preserve">; also of course Peter Breggin (1983) </w:t>
      </w:r>
      <w:hyperlink r:id="rId12" w:history="1">
        <w:r w:rsidRPr="004151DF">
          <w:rPr>
            <w:rStyle w:val="Hyperlink"/>
          </w:rPr>
          <w:t>https://www.amazon.com/Psychiatric-Drugs-Hazards-Peter-Breggin/dp/0826129307</w:t>
        </w:r>
      </w:hyperlink>
      <w:r>
        <w:t xml:space="preserve">).  </w:t>
      </w:r>
    </w:p>
    <w:p w14:paraId="111F62DD" w14:textId="77777777" w:rsidR="006C4D3A" w:rsidRDefault="006C4D3A" w:rsidP="006C4D3A">
      <w:pPr>
        <w:pStyle w:val="ListParagraph"/>
      </w:pPr>
    </w:p>
    <w:p w14:paraId="7C207A12" w14:textId="77777777" w:rsidR="006C4D3A" w:rsidRDefault="006C4D3A" w:rsidP="006C4D3A">
      <w:pPr>
        <w:pStyle w:val="ListParagraph"/>
        <w:numPr>
          <w:ilvl w:val="0"/>
          <w:numId w:val="1"/>
        </w:numPr>
      </w:pPr>
      <w:r>
        <w:t xml:space="preserve">It is not surprising to note that the document fails to identify as forms of discrimination the practices that are emblematic of discriminatory law singling out people with psychosocial disabilities for restriction and exclusion from rights – arbitrary detention (all involuntary confinement to mental health settings), torture and other ill-treatment (all involuntary interventions intended to have a psychoactive or psychotherapeutic effect), and legal capacity denial or limitation, in addition to the failure to respect diversity of mind, emotions, consciousness and communication through accessibility and accommodations as discussed above.  </w:t>
      </w:r>
    </w:p>
    <w:p w14:paraId="04F7F0D0" w14:textId="77777777" w:rsidR="006C4D3A" w:rsidRDefault="006C4D3A" w:rsidP="006C4D3A">
      <w:pPr>
        <w:pStyle w:val="ListParagraph"/>
      </w:pPr>
    </w:p>
    <w:p w14:paraId="36DE212C" w14:textId="77777777" w:rsidR="006C4D3A" w:rsidRDefault="006C4D3A" w:rsidP="006C4D3A">
      <w:pPr>
        <w:pStyle w:val="ListParagraph"/>
        <w:numPr>
          <w:ilvl w:val="0"/>
          <w:numId w:val="1"/>
        </w:numPr>
      </w:pPr>
      <w:r>
        <w:t xml:space="preserve">In key legal areas such as criminal responsibility and the application of a ‘best interpretation of will and preferences’ the document raises uncertainty about the normative framework set out by the CRPD Committee and endorsed by DPOs.  Access to justice is entirely outside the mandate of a health agency, as is legal capacity and how to respect a person’s will and preferences in good faith when communication using accessibility principles, accommodations and support has not availed.  </w:t>
      </w:r>
    </w:p>
    <w:p w14:paraId="02AB6503" w14:textId="77777777" w:rsidR="006C4D3A" w:rsidRDefault="006C4D3A" w:rsidP="006C4D3A">
      <w:pPr>
        <w:pStyle w:val="ListParagraph"/>
      </w:pPr>
    </w:p>
    <w:p w14:paraId="044ED745" w14:textId="77777777" w:rsidR="006C4D3A" w:rsidRDefault="006C4D3A" w:rsidP="006C4D3A">
      <w:pPr>
        <w:pStyle w:val="ListParagraph"/>
        <w:numPr>
          <w:ilvl w:val="0"/>
          <w:numId w:val="1"/>
        </w:numPr>
      </w:pPr>
      <w:r>
        <w:t>Survivors of psychiatric institutionalization who are expert in human rights law advocate a high threshold for consent to the highly intrusive, often irreversible administration of psychoactive drugs or electroshock.  Affirmative consent prior to each instance is the only standard that can ensure respect for the person’s physical and mental integrity (see CRPD General Comment No. 1 para 42).  WHO/OHCHR have failed to adopt this standard, which was advocated in earlier phases of consultation.</w:t>
      </w:r>
    </w:p>
    <w:p w14:paraId="5FA527DE" w14:textId="77777777" w:rsidR="006C4D3A" w:rsidRDefault="006C4D3A" w:rsidP="006C4D3A">
      <w:pPr>
        <w:pStyle w:val="ListParagraph"/>
      </w:pPr>
    </w:p>
    <w:p w14:paraId="5DF74A27" w14:textId="77777777" w:rsidR="006C4D3A" w:rsidRDefault="006C4D3A" w:rsidP="006C4D3A">
      <w:pPr>
        <w:pStyle w:val="ListParagraph"/>
        <w:rPr>
          <w:u w:val="single"/>
        </w:rPr>
      </w:pPr>
      <w:r>
        <w:rPr>
          <w:u w:val="single"/>
        </w:rPr>
        <w:t>Human rights violator</w:t>
      </w:r>
      <w:r w:rsidRPr="00DB4EAB">
        <w:rPr>
          <w:u w:val="single"/>
        </w:rPr>
        <w:t xml:space="preserve"> maintains control of narrative, policy, funding and transformation</w:t>
      </w:r>
    </w:p>
    <w:p w14:paraId="72E494E7" w14:textId="77777777" w:rsidR="006C4D3A" w:rsidRPr="00DB4EAB" w:rsidRDefault="006C4D3A" w:rsidP="006C4D3A">
      <w:pPr>
        <w:pStyle w:val="ListParagraph"/>
        <w:rPr>
          <w:u w:val="single"/>
        </w:rPr>
      </w:pPr>
    </w:p>
    <w:p w14:paraId="463160D9" w14:textId="77777777" w:rsidR="006C4D3A" w:rsidRDefault="006C4D3A" w:rsidP="006C4D3A">
      <w:pPr>
        <w:pStyle w:val="ListParagraph"/>
        <w:numPr>
          <w:ilvl w:val="0"/>
          <w:numId w:val="1"/>
        </w:numPr>
      </w:pPr>
      <w:r>
        <w:lastRenderedPageBreak/>
        <w:t>WHO does not acknowledge its accountability for human rights violations or encourage states to do so by cooperating with reparations processes which have been demanded by people with psychosocial disabilities with regard to psychiatric institutionalization.</w:t>
      </w:r>
    </w:p>
    <w:p w14:paraId="6F5D3348" w14:textId="77777777" w:rsidR="006C4D3A" w:rsidRDefault="006C4D3A" w:rsidP="006C4D3A">
      <w:pPr>
        <w:pStyle w:val="ListParagraph"/>
      </w:pPr>
      <w:r>
        <w:t xml:space="preserve"> </w:t>
      </w:r>
    </w:p>
    <w:p w14:paraId="658531D0" w14:textId="77777777" w:rsidR="006C4D3A" w:rsidRDefault="006C4D3A" w:rsidP="006C4D3A">
      <w:pPr>
        <w:pStyle w:val="ListParagraph"/>
        <w:numPr>
          <w:ilvl w:val="0"/>
          <w:numId w:val="1"/>
        </w:numPr>
      </w:pPr>
      <w:r>
        <w:t>Survivors of psychiatric institutionalization are never acknowledged as such or as having a right to participate in processes discussed in this guidance.  Contrary to the document’s assertion, ‘survivor’ is not merely another way of saying ‘person with psychosocial disability’ or ‘person with mental health condition’, but a relationship to mental health systems as a victim of human rights violations irrespective of whether one has a psychosocial disability.</w:t>
      </w:r>
    </w:p>
    <w:p w14:paraId="41D4DEB1" w14:textId="77777777" w:rsidR="006C4D3A" w:rsidRDefault="006C4D3A" w:rsidP="006C4D3A">
      <w:pPr>
        <w:pStyle w:val="ListParagraph"/>
      </w:pPr>
    </w:p>
    <w:p w14:paraId="1E6FF5E2" w14:textId="77777777" w:rsidR="006C4D3A" w:rsidRDefault="006C4D3A" w:rsidP="006C4D3A">
      <w:pPr>
        <w:pStyle w:val="ListParagraph"/>
        <w:numPr>
          <w:ilvl w:val="0"/>
          <w:numId w:val="1"/>
        </w:numPr>
      </w:pPr>
      <w:r>
        <w:t>WHO positions itself and states’ mental health authorities as the agents who will take charge of needed support services for people with psychosocial disabilities related to their psychosocial disability.  This has two components which are both objectionable.</w:t>
      </w:r>
    </w:p>
    <w:p w14:paraId="4838A0D0" w14:textId="77777777" w:rsidR="006C4D3A" w:rsidRDefault="006C4D3A" w:rsidP="006C4D3A">
      <w:pPr>
        <w:pStyle w:val="ListParagraph"/>
      </w:pPr>
    </w:p>
    <w:p w14:paraId="3F7E30DE" w14:textId="77777777" w:rsidR="006C4D3A" w:rsidRDefault="006C4D3A" w:rsidP="006C4D3A">
      <w:pPr>
        <w:pStyle w:val="ListParagraph"/>
        <w:numPr>
          <w:ilvl w:val="1"/>
          <w:numId w:val="1"/>
        </w:numPr>
      </w:pPr>
      <w:r>
        <w:t>Life crisis, distress and diversity of mind, emotion, consciousness, communication and behavior, are not acknowledged as needs capable of being met entirely within the framework of mainstream social-model disability services such as personal assistance and other personalized support services outside any governance or definition by health systems.</w:t>
      </w:r>
      <w:r>
        <w:rPr>
          <w:rStyle w:val="FootnoteReference"/>
        </w:rPr>
        <w:footnoteReference w:id="5"/>
      </w:r>
      <w:r>
        <w:t xml:space="preserve">  Practices based in ordinary language, like Intentional Peer Support</w:t>
      </w:r>
      <w:r>
        <w:rPr>
          <w:rStyle w:val="FootnoteReference"/>
        </w:rPr>
        <w:footnoteReference w:id="6"/>
      </w:r>
      <w:r>
        <w:t xml:space="preserve"> and Alternatives to Suicide</w:t>
      </w:r>
      <w:r>
        <w:rPr>
          <w:rStyle w:val="FootnoteReference"/>
        </w:rPr>
        <w:footnoteReference w:id="7"/>
      </w:r>
      <w:r>
        <w:t xml:space="preserve"> along with Joanna Moncrieff’s drug-based rather than illness-based approach to prescribing psychoactive drugs,</w:t>
      </w:r>
      <w:r>
        <w:rPr>
          <w:rStyle w:val="FootnoteReference"/>
        </w:rPr>
        <w:footnoteReference w:id="8"/>
      </w:r>
      <w:r>
        <w:t xml:space="preserve"> need to be strengthened and centered in policy, and not co-opted under health systems as mere ‘alternatives’ isolated among the more usual medicalizing practices that have increased distress and social inclusion.</w:t>
      </w:r>
      <w:r>
        <w:rPr>
          <w:rStyle w:val="FootnoteReference"/>
        </w:rPr>
        <w:footnoteReference w:id="9"/>
      </w:r>
    </w:p>
    <w:p w14:paraId="67257E4D" w14:textId="77777777" w:rsidR="006C4D3A" w:rsidRDefault="006C4D3A" w:rsidP="006C4D3A">
      <w:pPr>
        <w:pStyle w:val="ListParagraph"/>
        <w:ind w:left="1440"/>
      </w:pPr>
    </w:p>
    <w:p w14:paraId="246B3F05" w14:textId="77777777" w:rsidR="006C4D3A" w:rsidRDefault="006C4D3A" w:rsidP="006C4D3A">
      <w:pPr>
        <w:pStyle w:val="ListParagraph"/>
        <w:numPr>
          <w:ilvl w:val="1"/>
          <w:numId w:val="1"/>
        </w:numPr>
      </w:pPr>
      <w:r>
        <w:t xml:space="preserve">The institutional and individual perpetrators of institutionalization and related serious human rights violations are placed in charge of new and old services with a demand for high budgetary allocations.  This demonstrates a failure to appreciate the gravity, scope and extent of those violations and the social transformation needed to redress them.  It is not a transformation within the mental health system but a transformation of the place of that system in society, questioning its discourse and practices beyond the egregious and obvious abuses already named by the CRPD.  It is not an easy task, but this social transformation, </w:t>
      </w:r>
      <w:r>
        <w:lastRenderedPageBreak/>
        <w:t>led by the disability human rights sector and particularly by survivors of institutionalization, is a necessary pre-condition for any attempt by the mental health sector to take on new tasks or budgetary allocations.</w:t>
      </w:r>
    </w:p>
    <w:p w14:paraId="415D5DA3" w14:textId="77777777" w:rsidR="006C4D3A" w:rsidRDefault="006C4D3A" w:rsidP="006C4D3A">
      <w:pPr>
        <w:pStyle w:val="ListParagraph"/>
        <w:ind w:left="1440"/>
      </w:pPr>
    </w:p>
    <w:p w14:paraId="35DE003F" w14:textId="77777777" w:rsidR="006C4D3A" w:rsidRDefault="006C4D3A" w:rsidP="006C4D3A">
      <w:pPr>
        <w:pStyle w:val="ListParagraph"/>
      </w:pPr>
    </w:p>
    <w:p w14:paraId="20BC360C" w14:textId="77777777" w:rsidR="006C4D3A" w:rsidRDefault="006C4D3A" w:rsidP="006C4D3A">
      <w:pPr>
        <w:pStyle w:val="ListParagraph"/>
        <w:rPr>
          <w:u w:val="single"/>
        </w:rPr>
      </w:pPr>
      <w:r w:rsidRPr="009E6705">
        <w:rPr>
          <w:u w:val="single"/>
        </w:rPr>
        <w:t>Pathologizing and circular definitions of core concepts</w:t>
      </w:r>
    </w:p>
    <w:p w14:paraId="6F7236EF" w14:textId="77777777" w:rsidR="006C4D3A" w:rsidRPr="007C5404" w:rsidRDefault="006C4D3A" w:rsidP="006C4D3A">
      <w:pPr>
        <w:pStyle w:val="ListParagraph"/>
        <w:rPr>
          <w:u w:val="single"/>
        </w:rPr>
      </w:pPr>
    </w:p>
    <w:p w14:paraId="0BB26118" w14:textId="77777777" w:rsidR="006C4D3A" w:rsidRDefault="006C4D3A" w:rsidP="006C4D3A">
      <w:pPr>
        <w:pStyle w:val="ListParagraph"/>
        <w:numPr>
          <w:ilvl w:val="0"/>
          <w:numId w:val="1"/>
        </w:numPr>
      </w:pPr>
      <w:r>
        <w:t>The document pathologizes personal crisis, diversity and distress by referring to these aspects of life as ‘mental health experiences’.  ‘Mental health crisis’ defined pejoratively in terms of behavior viewed negatively by others ‘</w:t>
      </w:r>
      <w:r w:rsidRPr="00045D23">
        <w:rPr>
          <w:lang w:val="en-GB"/>
        </w:rPr>
        <w:t>e.g., hallucinations, restlessness, agitation, self-harm, aggression, threatening harm</w:t>
      </w:r>
      <w:r>
        <w:rPr>
          <w:lang w:val="en-GB"/>
        </w:rPr>
        <w:t>’</w:t>
      </w:r>
      <w:r>
        <w:t>.  ‘Mental health condition’ is equated to a ‘health condition’ and refers circularly to ‘people who have experienced mental health issues or challenges’.</w:t>
      </w:r>
    </w:p>
    <w:p w14:paraId="55438958" w14:textId="77777777" w:rsidR="006C4D3A" w:rsidRPr="0080637B" w:rsidRDefault="006C4D3A" w:rsidP="006C4D3A">
      <w:pPr>
        <w:pStyle w:val="ListParagraph"/>
      </w:pPr>
    </w:p>
    <w:p w14:paraId="1AF8D494" w14:textId="77777777" w:rsidR="006C4D3A" w:rsidRPr="00045D23" w:rsidRDefault="006C4D3A" w:rsidP="006C4D3A">
      <w:pPr>
        <w:pStyle w:val="ListParagraph"/>
        <w:numPr>
          <w:ilvl w:val="0"/>
          <w:numId w:val="1"/>
        </w:numPr>
      </w:pPr>
      <w:r>
        <w:t>The document takes a pathologizing approach to its core concept of mental health, given that the definition views ‘absence of mental health conditions’ as an element of mental health (‘more than just the absence of mental health conditions’).</w:t>
      </w:r>
    </w:p>
    <w:p w14:paraId="570002E9" w14:textId="77777777" w:rsidR="006C4D3A" w:rsidRPr="00045D23" w:rsidRDefault="006C4D3A" w:rsidP="006C4D3A">
      <w:pPr>
        <w:pStyle w:val="ListParagraph"/>
      </w:pPr>
    </w:p>
    <w:p w14:paraId="367C99FC" w14:textId="77777777" w:rsidR="006C4D3A" w:rsidRPr="006C150F" w:rsidRDefault="006C4D3A" w:rsidP="006C4D3A">
      <w:pPr>
        <w:pStyle w:val="ListParagraph"/>
        <w:numPr>
          <w:ilvl w:val="0"/>
          <w:numId w:val="1"/>
        </w:numPr>
      </w:pPr>
      <w:r>
        <w:rPr>
          <w:rFonts w:ascii="Calibri" w:hAnsi="Calibri"/>
          <w:lang w:val="en-GB"/>
        </w:rPr>
        <w:t>Not surprisingly, examples of ‘mental health conditions’ given refer to common emotional states that have been pathologized by psychiatric diagnosis (and represent a huge market both voluntary and involuntary for psychiatric drugs) – depression and anxiety.</w:t>
      </w:r>
    </w:p>
    <w:p w14:paraId="652C1D41" w14:textId="77777777" w:rsidR="006C4D3A" w:rsidRDefault="006C4D3A" w:rsidP="006C4D3A">
      <w:pPr>
        <w:pStyle w:val="ListParagraph"/>
      </w:pPr>
    </w:p>
    <w:p w14:paraId="686B361B" w14:textId="77777777" w:rsidR="006C4D3A" w:rsidRDefault="006C4D3A" w:rsidP="006C4D3A">
      <w:pPr>
        <w:pStyle w:val="ListParagraph"/>
        <w:numPr>
          <w:ilvl w:val="0"/>
          <w:numId w:val="1"/>
        </w:numPr>
      </w:pPr>
      <w:r>
        <w:t>‘Mental health’ is further defined as ‘</w:t>
      </w:r>
      <w:r w:rsidRPr="00DB30DF">
        <w:rPr>
          <w:rFonts w:ascii="Calibri" w:hAnsi="Calibri"/>
          <w:lang w:val="en-GB"/>
        </w:rPr>
        <w:t xml:space="preserve">a state of well-being in which every individual realizes </w:t>
      </w:r>
      <w:r>
        <w:rPr>
          <w:rFonts w:ascii="Calibri" w:hAnsi="Calibri"/>
          <w:lang w:val="en-GB"/>
        </w:rPr>
        <w:t>their</w:t>
      </w:r>
      <w:r w:rsidRPr="00DB30DF">
        <w:rPr>
          <w:rFonts w:ascii="Calibri" w:hAnsi="Calibri"/>
          <w:lang w:val="en-GB"/>
        </w:rPr>
        <w:t xml:space="preserve"> own potential, can cope with the normal stresses of life, can work productively and fruitfully, and is able to make a contribution to </w:t>
      </w:r>
      <w:r>
        <w:rPr>
          <w:rFonts w:ascii="Calibri" w:hAnsi="Calibri"/>
          <w:lang w:val="en-GB"/>
        </w:rPr>
        <w:t>the</w:t>
      </w:r>
      <w:r w:rsidRPr="00DB30DF">
        <w:rPr>
          <w:rFonts w:ascii="Calibri" w:hAnsi="Calibri"/>
          <w:lang w:val="en-GB"/>
        </w:rPr>
        <w:t xml:space="preserve"> community</w:t>
      </w:r>
      <w:r>
        <w:rPr>
          <w:rFonts w:ascii="Calibri" w:hAnsi="Calibri"/>
          <w:lang w:val="en-GB"/>
        </w:rPr>
        <w:t>.’  This embraces a normalizing discourse that measures well-being in behavioural terms and treats divergence from this state as a pathological condition within the individual.</w:t>
      </w:r>
    </w:p>
    <w:p w14:paraId="74078E6F" w14:textId="77777777" w:rsidR="006C4D3A" w:rsidRPr="00FA3342" w:rsidRDefault="006C4D3A" w:rsidP="006C4D3A">
      <w:pPr>
        <w:pStyle w:val="ListParagraph"/>
      </w:pPr>
    </w:p>
    <w:p w14:paraId="60F0365A" w14:textId="77777777" w:rsidR="006C4D3A" w:rsidRDefault="006C4D3A" w:rsidP="006C4D3A">
      <w:pPr>
        <w:pStyle w:val="ListParagraph"/>
        <w:numPr>
          <w:ilvl w:val="0"/>
          <w:numId w:val="1"/>
        </w:numPr>
      </w:pPr>
      <w:r>
        <w:rPr>
          <w:rFonts w:ascii="Calibri" w:hAnsi="Calibri"/>
          <w:lang w:val="en-GB"/>
        </w:rPr>
        <w:t>The economic argument for investment in ‘mental health’ – the costs of low productivity – represents additionally a discourse that subordinates individuals to the interests of industry and of the state.</w:t>
      </w:r>
    </w:p>
    <w:p w14:paraId="7A62089D" w14:textId="77777777" w:rsidR="006C4D3A" w:rsidRDefault="006C4D3A" w:rsidP="006C4D3A">
      <w:pPr>
        <w:pStyle w:val="ListParagraph"/>
      </w:pPr>
    </w:p>
    <w:p w14:paraId="1DF15AC9" w14:textId="77777777" w:rsidR="006C4D3A" w:rsidRDefault="006C4D3A" w:rsidP="006C4D3A">
      <w:pPr>
        <w:pStyle w:val="ListParagraph"/>
        <w:numPr>
          <w:ilvl w:val="0"/>
          <w:numId w:val="1"/>
        </w:numPr>
      </w:pPr>
      <w:r>
        <w:t>All social protection measures as well as social-model disability services such as personal assistance are framed as addressing ‘social determinants of mental health’.</w:t>
      </w:r>
    </w:p>
    <w:p w14:paraId="4F348C4A" w14:textId="77777777" w:rsidR="006C4D3A" w:rsidRDefault="006C4D3A" w:rsidP="006C4D3A">
      <w:pPr>
        <w:pStyle w:val="ListParagraph"/>
      </w:pPr>
    </w:p>
    <w:p w14:paraId="2DF6C05C" w14:textId="77777777" w:rsidR="006C4D3A" w:rsidRDefault="006C4D3A" w:rsidP="006C4D3A">
      <w:pPr>
        <w:pStyle w:val="ListParagraph"/>
        <w:numPr>
          <w:ilvl w:val="1"/>
          <w:numId w:val="1"/>
        </w:numPr>
      </w:pPr>
      <w:r>
        <w:t>This directly subverts the transformation sought by the movements of people with psychosocial disabilities, to demand eligibility for services such as personal assistance to meet needs related to crisis, distress and diversity as an alternative, non-medical option outside the health system, and not only as complementary forms of support comparable to housing and employment programs.</w:t>
      </w:r>
    </w:p>
    <w:p w14:paraId="6E3E5C37" w14:textId="77777777" w:rsidR="006C4D3A" w:rsidRDefault="006C4D3A" w:rsidP="006C4D3A">
      <w:pPr>
        <w:pStyle w:val="ListParagraph"/>
        <w:ind w:left="1440"/>
      </w:pPr>
    </w:p>
    <w:p w14:paraId="69649F2B" w14:textId="77777777" w:rsidR="006C4D3A" w:rsidRDefault="006C4D3A" w:rsidP="006C4D3A">
      <w:pPr>
        <w:pStyle w:val="ListParagraph"/>
        <w:numPr>
          <w:ilvl w:val="1"/>
          <w:numId w:val="1"/>
        </w:numPr>
      </w:pPr>
      <w:r>
        <w:t xml:space="preserve">Personal assistance is said to require ‘a mental health perspective’ – underscoring the subversion and implying a ‘mental health’ framing rather that a </w:t>
      </w:r>
      <w:r>
        <w:lastRenderedPageBreak/>
        <w:t>‘psychosocial disability’ framing with implications as to approach (‘therapeutic’ vs being directed and designed by the service user), involvement of mental health professionals, whether diagnosis or medical assessment is required, etc.</w:t>
      </w:r>
    </w:p>
    <w:p w14:paraId="543B11C2" w14:textId="77777777" w:rsidR="006C4D3A" w:rsidRDefault="006C4D3A" w:rsidP="006C4D3A">
      <w:pPr>
        <w:pStyle w:val="ListParagraph"/>
        <w:ind w:left="1440"/>
      </w:pPr>
    </w:p>
    <w:p w14:paraId="792510D8" w14:textId="77777777" w:rsidR="006C4D3A" w:rsidRDefault="006C4D3A" w:rsidP="006C4D3A">
      <w:pPr>
        <w:pStyle w:val="ListParagraph"/>
        <w:numPr>
          <w:ilvl w:val="1"/>
          <w:numId w:val="1"/>
        </w:numPr>
      </w:pPr>
      <w:r>
        <w:t>This usage of the concept of social determinants of mental health subjects human rights obligations of states to a health-based reference point, to the extent it is incorporated in social policy.  This is undemocratic as it privileges a particular lens of assessing human rights enjoyment and making policy recommendations that is the domain of a single sector claiming expertise.</w:t>
      </w:r>
    </w:p>
    <w:p w14:paraId="1E0438B7" w14:textId="77777777" w:rsidR="006C4D3A" w:rsidRDefault="006C4D3A" w:rsidP="006C4D3A">
      <w:pPr>
        <w:pStyle w:val="ListParagraph"/>
        <w:ind w:left="1440"/>
      </w:pPr>
    </w:p>
    <w:p w14:paraId="23007CE7" w14:textId="77777777" w:rsidR="006C4D3A" w:rsidRDefault="006C4D3A" w:rsidP="006C4D3A">
      <w:pPr>
        <w:pStyle w:val="ListParagraph"/>
        <w:numPr>
          <w:ilvl w:val="1"/>
          <w:numId w:val="1"/>
        </w:numPr>
      </w:pPr>
      <w:r>
        <w:t>It situates ‘social determinants of mental health’ as contextual while maintaining as central a narrative of individual impairment (whether the false narrative of brain pathology or otherwise) as a health condition that ‘mental health services’ treat.  This subverts the potential for understanding ‘social determinants’ as inextricable from our relationships to one another and our environment and what we make of them.</w:t>
      </w:r>
    </w:p>
    <w:p w14:paraId="64C47B23" w14:textId="77777777" w:rsidR="006C4D3A" w:rsidRDefault="006C4D3A" w:rsidP="006C4D3A">
      <w:pPr>
        <w:pStyle w:val="ListParagraph"/>
        <w:ind w:left="1440"/>
      </w:pPr>
    </w:p>
    <w:p w14:paraId="60B4EA05" w14:textId="77777777" w:rsidR="006C4D3A" w:rsidRDefault="006C4D3A" w:rsidP="006C4D3A">
      <w:pPr>
        <w:pStyle w:val="ListParagraph"/>
        <w:numPr>
          <w:ilvl w:val="1"/>
          <w:numId w:val="1"/>
        </w:numPr>
      </w:pPr>
      <w:r>
        <w:t xml:space="preserve">It is an impoverished understanding of ‘social determinants’ of human well-being even more so since the focus is on providing social protection – as intersectoral cooperation ‘with a mental health perspective’ centering the state and service providers! – rather than on states’ obligations towards rights holders to ensure an environment that respects and fulfills all civil, political, economic, social and cultural rights.  Such an environment could then serve as background for understanding the complex interrelationships of individuals in societies and how they may need support and accommodation in relation to emotional distress, which mental health systems cannot lead, and cannot reconfigure themselves to provide safely until they have satisfactorily completed accountability and reparations processes presided over by human rights authorities in collaboration with survivors.  </w:t>
      </w:r>
    </w:p>
    <w:p w14:paraId="1782A8C5" w14:textId="77777777" w:rsidR="006C4D3A" w:rsidRDefault="006C4D3A" w:rsidP="006C4D3A">
      <w:pPr>
        <w:pStyle w:val="ListParagraph"/>
        <w:ind w:left="1440"/>
      </w:pPr>
    </w:p>
    <w:p w14:paraId="0A915713" w14:textId="77777777" w:rsidR="006C4D3A" w:rsidRDefault="006C4D3A" w:rsidP="006C4D3A">
      <w:pPr>
        <w:pStyle w:val="ListParagraph"/>
      </w:pPr>
    </w:p>
    <w:p w14:paraId="04C62EA6" w14:textId="77777777" w:rsidR="006C4D3A" w:rsidRDefault="006C4D3A" w:rsidP="006C4D3A"/>
    <w:p w14:paraId="617951DC" w14:textId="77777777" w:rsidR="00241D47" w:rsidRDefault="00241D47"/>
    <w:p w14:paraId="2C4616CD" w14:textId="77777777" w:rsidR="00241D47" w:rsidRDefault="00241D47"/>
    <w:p w14:paraId="6894A2A5" w14:textId="2930737A" w:rsidR="00241D47" w:rsidRDefault="00241D47"/>
    <w:p w14:paraId="42CAD980" w14:textId="77777777" w:rsidR="00241D47" w:rsidRDefault="00241D47"/>
    <w:p w14:paraId="1FDC1F59" w14:textId="5AAB6828" w:rsidR="00241D47" w:rsidRDefault="00241D47"/>
    <w:p w14:paraId="7CC7A3AA" w14:textId="77777777" w:rsidR="00241D47" w:rsidRDefault="00241D47"/>
    <w:p w14:paraId="7B82EE3F" w14:textId="68FAE391" w:rsidR="00241D47" w:rsidRDefault="00241D47"/>
    <w:p w14:paraId="7BF9151A" w14:textId="63B62AA5" w:rsidR="00241D47" w:rsidRDefault="00241D47"/>
    <w:sectPr w:rsidR="00241D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C52A6" w14:textId="77777777" w:rsidR="00763A46" w:rsidRDefault="00763A46" w:rsidP="004A4C16">
      <w:r>
        <w:separator/>
      </w:r>
    </w:p>
  </w:endnote>
  <w:endnote w:type="continuationSeparator" w:id="0">
    <w:p w14:paraId="2C9D44B3" w14:textId="77777777" w:rsidR="00763A46" w:rsidRDefault="00763A46" w:rsidP="004A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F74E9" w14:textId="77777777" w:rsidR="00763A46" w:rsidRDefault="00763A46" w:rsidP="004A4C16">
      <w:r>
        <w:separator/>
      </w:r>
    </w:p>
  </w:footnote>
  <w:footnote w:type="continuationSeparator" w:id="0">
    <w:p w14:paraId="46F3280D" w14:textId="77777777" w:rsidR="00763A46" w:rsidRDefault="00763A46" w:rsidP="004A4C16">
      <w:r>
        <w:continuationSeparator/>
      </w:r>
    </w:p>
  </w:footnote>
  <w:footnote w:id="1">
    <w:p w14:paraId="1C46AF21" w14:textId="3C0958DD" w:rsidR="00886DF2" w:rsidRDefault="00886DF2">
      <w:pPr>
        <w:pStyle w:val="FootnoteText"/>
      </w:pPr>
      <w:r>
        <w:rPr>
          <w:rStyle w:val="FootnoteReference"/>
        </w:rPr>
        <w:footnoteRef/>
      </w:r>
      <w:r>
        <w:t xml:space="preserve"> This would need to be a stand-alone statement explicitly based on international human rights law norms</w:t>
      </w:r>
      <w:r w:rsidR="0056612A">
        <w:t xml:space="preserve"> accepted on their own terms as binding on the health sector</w:t>
      </w:r>
      <w:r>
        <w:t xml:space="preserve">, and not couched </w:t>
      </w:r>
      <w:r w:rsidR="0056612A">
        <w:t>within</w:t>
      </w:r>
      <w:r>
        <w:t xml:space="preserve"> an aim of promoting mental health.  </w:t>
      </w:r>
    </w:p>
  </w:footnote>
  <w:footnote w:id="2">
    <w:p w14:paraId="6FB2C929" w14:textId="676286F0" w:rsidR="004A4C16" w:rsidRDefault="004A4C16">
      <w:pPr>
        <w:pStyle w:val="FootnoteText"/>
      </w:pPr>
      <w:r>
        <w:rPr>
          <w:rStyle w:val="FootnoteReference"/>
        </w:rPr>
        <w:footnoteRef/>
      </w:r>
      <w:r>
        <w:t xml:space="preserve"> See E/CN.4/1986/15 paragraph 119, and A/HRC/43/49 paragraph 37.</w:t>
      </w:r>
    </w:p>
  </w:footnote>
  <w:footnote w:id="3">
    <w:p w14:paraId="591296BB" w14:textId="2EF26D91" w:rsidR="00EA7A58" w:rsidRDefault="00EA7A58">
      <w:pPr>
        <w:pStyle w:val="FootnoteText"/>
      </w:pPr>
      <w:r>
        <w:rPr>
          <w:rStyle w:val="FootnoteReference"/>
        </w:rPr>
        <w:footnoteRef/>
      </w:r>
      <w:r>
        <w:t xml:space="preserve"> </w:t>
      </w:r>
      <w:r w:rsidR="00B24521">
        <w:t xml:space="preserve">See </w:t>
      </w:r>
      <w:r w:rsidRPr="00EA7A58">
        <w:t xml:space="preserve">Joanna Moncrieff et al (2022), </w:t>
      </w:r>
      <w:hyperlink r:id="rId1" w:history="1">
        <w:r w:rsidRPr="00EA7A58">
          <w:rPr>
            <w:rStyle w:val="Hyperlink"/>
          </w:rPr>
          <w:t>https://www.nature.com/articles/s41380-022-01661-0</w:t>
        </w:r>
      </w:hyperlink>
      <w:r w:rsidRPr="00EA7A58">
        <w:t xml:space="preserve">, and </w:t>
      </w:r>
      <w:hyperlink r:id="rId2" w:history="1">
        <w:r w:rsidRPr="00EA7A58">
          <w:rPr>
            <w:rStyle w:val="Hyperlink"/>
          </w:rPr>
          <w:t>https://www.madinamerica.com/2022/08/psychiatry-fraud-and-the-case-for-a-class-action-lawsuit/</w:t>
        </w:r>
      </w:hyperlink>
      <w:r w:rsidRPr="00EA7A58">
        <w:t xml:space="preserve">; Peter </w:t>
      </w:r>
      <w:r w:rsidRPr="00EA7A58">
        <w:t xml:space="preserve">Breggin (1983) </w:t>
      </w:r>
      <w:hyperlink r:id="rId3" w:history="1">
        <w:r w:rsidRPr="00EA7A58">
          <w:rPr>
            <w:rStyle w:val="Hyperlink"/>
          </w:rPr>
          <w:t>https://www.amazon.com/Psychiatric-Drugs-Hazards-Peter-Breggin/dp/0826129307</w:t>
        </w:r>
      </w:hyperlink>
      <w:r w:rsidRPr="00EA7A58">
        <w:t xml:space="preserve">).  </w:t>
      </w:r>
    </w:p>
  </w:footnote>
  <w:footnote w:id="4">
    <w:p w14:paraId="64CFAEAA" w14:textId="3BE27E20" w:rsidR="00B24521" w:rsidRDefault="00B24521">
      <w:pPr>
        <w:pStyle w:val="FootnoteText"/>
      </w:pPr>
      <w:r>
        <w:rPr>
          <w:rStyle w:val="FootnoteReference"/>
        </w:rPr>
        <w:footnoteRef/>
      </w:r>
      <w:r>
        <w:t xml:space="preserve"> See A/63/175 paragraph 49.</w:t>
      </w:r>
    </w:p>
  </w:footnote>
  <w:footnote w:id="5">
    <w:p w14:paraId="41F8595E" w14:textId="76348DFB" w:rsidR="006C4D3A" w:rsidRDefault="006C4D3A" w:rsidP="006C4D3A">
      <w:pPr>
        <w:pStyle w:val="FootnoteText"/>
      </w:pPr>
      <w:r>
        <w:rPr>
          <w:rStyle w:val="FootnoteReference"/>
        </w:rPr>
        <w:footnoteRef/>
      </w:r>
      <w:r>
        <w:t xml:space="preserve"> See </w:t>
      </w:r>
      <w:r>
        <w:t xml:space="preserve">Minkowitz, Reimagining Crisis Support (2021), </w:t>
      </w:r>
      <w:hyperlink r:id="rId4" w:history="1">
        <w:r w:rsidRPr="004151DF">
          <w:rPr>
            <w:rStyle w:val="Hyperlink"/>
          </w:rPr>
          <w:t>https://www.reimaginingcrisissupport.org</w:t>
        </w:r>
      </w:hyperlink>
      <w:r>
        <w:t>.  The document cites this book for limited premises on which they agree with the author while ignoring its central thesis and policy advocacy.</w:t>
      </w:r>
    </w:p>
  </w:footnote>
  <w:footnote w:id="6">
    <w:p w14:paraId="6F89346D" w14:textId="77777777" w:rsidR="006C4D3A" w:rsidRDefault="006C4D3A" w:rsidP="006C4D3A">
      <w:pPr>
        <w:pStyle w:val="FootnoteText"/>
      </w:pPr>
      <w:r>
        <w:rPr>
          <w:rStyle w:val="FootnoteReference"/>
        </w:rPr>
        <w:footnoteRef/>
      </w:r>
      <w:r>
        <w:t xml:space="preserve"> </w:t>
      </w:r>
      <w:hyperlink r:id="rId5" w:history="1">
        <w:r w:rsidRPr="004151DF">
          <w:rPr>
            <w:rStyle w:val="Hyperlink"/>
          </w:rPr>
          <w:t>www.intentionalpeersupport.org</w:t>
        </w:r>
      </w:hyperlink>
      <w:r>
        <w:t xml:space="preserve">.  </w:t>
      </w:r>
    </w:p>
  </w:footnote>
  <w:footnote w:id="7">
    <w:p w14:paraId="7DAD2C29" w14:textId="77777777" w:rsidR="006C4D3A" w:rsidRDefault="006C4D3A" w:rsidP="006C4D3A">
      <w:pPr>
        <w:pStyle w:val="FootnoteText"/>
      </w:pPr>
      <w:r>
        <w:rPr>
          <w:rStyle w:val="FootnoteReference"/>
        </w:rPr>
        <w:footnoteRef/>
      </w:r>
      <w:r>
        <w:t xml:space="preserve"> </w:t>
      </w:r>
      <w:hyperlink r:id="rId6" w:history="1">
        <w:r w:rsidRPr="004151DF">
          <w:rPr>
            <w:rStyle w:val="Hyperlink"/>
          </w:rPr>
          <w:t>https://wildfloweralliance.org/wp-content/uploads/2021/01/CHARTER_alt2su_August-edits.pdf</w:t>
        </w:r>
      </w:hyperlink>
      <w:r>
        <w:t xml:space="preserve">. </w:t>
      </w:r>
    </w:p>
  </w:footnote>
  <w:footnote w:id="8">
    <w:p w14:paraId="778416C1" w14:textId="77777777" w:rsidR="006C4D3A" w:rsidRDefault="006C4D3A" w:rsidP="006C4D3A">
      <w:pPr>
        <w:pStyle w:val="FootnoteText"/>
      </w:pPr>
      <w:r>
        <w:rPr>
          <w:rStyle w:val="FootnoteReference"/>
        </w:rPr>
        <w:footnoteRef/>
      </w:r>
      <w:r>
        <w:t xml:space="preserve"> </w:t>
      </w:r>
      <w:hyperlink r:id="rId7" w:history="1">
        <w:r w:rsidRPr="004151DF">
          <w:rPr>
            <w:rStyle w:val="Hyperlink"/>
          </w:rPr>
          <w:t>https://www.cambridge.org/core/journals/bjpsych-advances/article/drugcentred-psychopharmacology-a-nondiagnostic-framework-for-drug-treatment/39BD134F14AC49E4291045D3DED4E81C</w:t>
        </w:r>
      </w:hyperlink>
      <w:r>
        <w:t xml:space="preserve"> (see also her recent article cited above).</w:t>
      </w:r>
    </w:p>
  </w:footnote>
  <w:footnote w:id="9">
    <w:p w14:paraId="2169DFAE" w14:textId="77777777" w:rsidR="006C4D3A" w:rsidRDefault="006C4D3A" w:rsidP="006C4D3A">
      <w:pPr>
        <w:pStyle w:val="FootnoteText"/>
      </w:pPr>
      <w:r>
        <w:rPr>
          <w:rStyle w:val="FootnoteReference"/>
        </w:rPr>
        <w:footnoteRef/>
      </w:r>
      <w:r>
        <w:t xml:space="preserve"> Robert Whitaker, Anatomy of an Epidemic and </w:t>
      </w:r>
      <w:hyperlink r:id="rId8" w:history="1">
        <w:r w:rsidRPr="004151DF">
          <w:rPr>
            <w:rStyle w:val="Hyperlink"/>
          </w:rPr>
          <w:t>https://www.madinamerica.com/2022/08/psychiatry-fraud-and-the-case-for-a-class-action-lawsuit/</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C7B19"/>
    <w:multiLevelType w:val="hybridMultilevel"/>
    <w:tmpl w:val="0456D73C"/>
    <w:lvl w:ilvl="0" w:tplc="D714C6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820113"/>
    <w:multiLevelType w:val="hybridMultilevel"/>
    <w:tmpl w:val="1B6E9590"/>
    <w:lvl w:ilvl="0" w:tplc="53B6DA6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4796382">
    <w:abstractNumId w:val="1"/>
  </w:num>
  <w:num w:numId="2" w16cid:durableId="1060665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documentProtection w:edit="readOnly" w:enforcement="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C25"/>
    <w:rsid w:val="000159A9"/>
    <w:rsid w:val="0004032E"/>
    <w:rsid w:val="00081459"/>
    <w:rsid w:val="001B2785"/>
    <w:rsid w:val="001C6264"/>
    <w:rsid w:val="00240207"/>
    <w:rsid w:val="00241D47"/>
    <w:rsid w:val="002C6012"/>
    <w:rsid w:val="002E0431"/>
    <w:rsid w:val="0039487C"/>
    <w:rsid w:val="004269DD"/>
    <w:rsid w:val="004A4C16"/>
    <w:rsid w:val="004B1441"/>
    <w:rsid w:val="0056612A"/>
    <w:rsid w:val="005C3CB4"/>
    <w:rsid w:val="005C53DC"/>
    <w:rsid w:val="00605140"/>
    <w:rsid w:val="006A2C25"/>
    <w:rsid w:val="006C4D3A"/>
    <w:rsid w:val="006D14CE"/>
    <w:rsid w:val="006D1939"/>
    <w:rsid w:val="00707E4F"/>
    <w:rsid w:val="00763A46"/>
    <w:rsid w:val="00783BDC"/>
    <w:rsid w:val="007B05DF"/>
    <w:rsid w:val="007B7D6F"/>
    <w:rsid w:val="00871C0D"/>
    <w:rsid w:val="00886DF2"/>
    <w:rsid w:val="008E33F7"/>
    <w:rsid w:val="00956D3B"/>
    <w:rsid w:val="009B4120"/>
    <w:rsid w:val="009F5372"/>
    <w:rsid w:val="009F7E11"/>
    <w:rsid w:val="00A20351"/>
    <w:rsid w:val="00A66354"/>
    <w:rsid w:val="00A672B9"/>
    <w:rsid w:val="00AB6F2E"/>
    <w:rsid w:val="00AC2FC3"/>
    <w:rsid w:val="00B16610"/>
    <w:rsid w:val="00B21A70"/>
    <w:rsid w:val="00B24521"/>
    <w:rsid w:val="00B67D6D"/>
    <w:rsid w:val="00BD43EE"/>
    <w:rsid w:val="00C368AB"/>
    <w:rsid w:val="00C52ECC"/>
    <w:rsid w:val="00C967D5"/>
    <w:rsid w:val="00CC7744"/>
    <w:rsid w:val="00CF6896"/>
    <w:rsid w:val="00D11978"/>
    <w:rsid w:val="00D164DD"/>
    <w:rsid w:val="00D2188C"/>
    <w:rsid w:val="00D43301"/>
    <w:rsid w:val="00E1647E"/>
    <w:rsid w:val="00E87146"/>
    <w:rsid w:val="00EA7A58"/>
    <w:rsid w:val="00EB6E7B"/>
    <w:rsid w:val="00EF40BB"/>
    <w:rsid w:val="00F00B48"/>
    <w:rsid w:val="00F42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C13C43A"/>
  <w15:chartTrackingRefBased/>
  <w15:docId w15:val="{483763D6-81C8-C443-9C78-921AE6C18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A4C16"/>
    <w:rPr>
      <w:sz w:val="20"/>
      <w:szCs w:val="20"/>
    </w:rPr>
  </w:style>
  <w:style w:type="character" w:customStyle="1" w:styleId="FootnoteTextChar">
    <w:name w:val="Footnote Text Char"/>
    <w:basedOn w:val="DefaultParagraphFont"/>
    <w:link w:val="FootnoteText"/>
    <w:uiPriority w:val="99"/>
    <w:semiHidden/>
    <w:rsid w:val="004A4C16"/>
    <w:rPr>
      <w:sz w:val="20"/>
      <w:szCs w:val="20"/>
    </w:rPr>
  </w:style>
  <w:style w:type="character" w:styleId="FootnoteReference">
    <w:name w:val="footnote reference"/>
    <w:basedOn w:val="DefaultParagraphFont"/>
    <w:uiPriority w:val="99"/>
    <w:semiHidden/>
    <w:unhideWhenUsed/>
    <w:rsid w:val="004A4C16"/>
    <w:rPr>
      <w:vertAlign w:val="superscript"/>
    </w:rPr>
  </w:style>
  <w:style w:type="character" w:styleId="Hyperlink">
    <w:name w:val="Hyperlink"/>
    <w:basedOn w:val="DefaultParagraphFont"/>
    <w:uiPriority w:val="99"/>
    <w:unhideWhenUsed/>
    <w:rsid w:val="00EA7A58"/>
    <w:rPr>
      <w:color w:val="0563C1" w:themeColor="hyperlink"/>
      <w:u w:val="single"/>
    </w:rPr>
  </w:style>
  <w:style w:type="character" w:styleId="UnresolvedMention">
    <w:name w:val="Unresolved Mention"/>
    <w:basedOn w:val="DefaultParagraphFont"/>
    <w:uiPriority w:val="99"/>
    <w:semiHidden/>
    <w:unhideWhenUsed/>
    <w:rsid w:val="00EA7A58"/>
    <w:rPr>
      <w:color w:val="605E5C"/>
      <w:shd w:val="clear" w:color="auto" w:fill="E1DFDD"/>
    </w:rPr>
  </w:style>
  <w:style w:type="paragraph" w:styleId="ListParagraph">
    <w:name w:val="List Paragraph"/>
    <w:basedOn w:val="Normal"/>
    <w:uiPriority w:val="34"/>
    <w:qFormat/>
    <w:rsid w:val="006C4D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rusp.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amazon.com/Psychiatric-Drugs-Hazards-Peter-Breggin/dp/08261293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dinamerica.com/2022/08/psychiatry-fraud-and-the-case-for-a-class-action-lawsuit/" TargetMode="External"/><Relationship Id="rId5" Type="http://schemas.openxmlformats.org/officeDocument/2006/relationships/footnotes" Target="footnotes.xml"/><Relationship Id="rId10" Type="http://schemas.openxmlformats.org/officeDocument/2006/relationships/hyperlink" Target="https://www.nature.com/articles/s41380-022-01661-0" TargetMode="External"/><Relationship Id="rId4" Type="http://schemas.openxmlformats.org/officeDocument/2006/relationships/webSettings" Target="webSettings.xml"/><Relationship Id="rId9" Type="http://schemas.openxmlformats.org/officeDocument/2006/relationships/hyperlink" Target="mailto:info@chrusp.org"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madinamerica.com/2022/08/psychiatry-fraud-and-the-case-for-a-class-action-lawsuit/" TargetMode="External"/><Relationship Id="rId3" Type="http://schemas.openxmlformats.org/officeDocument/2006/relationships/hyperlink" Target="https://www.amazon.com/Psychiatric-Drugs-Hazards-Peter-Breggin/dp/0826129307" TargetMode="External"/><Relationship Id="rId7" Type="http://schemas.openxmlformats.org/officeDocument/2006/relationships/hyperlink" Target="https://www.cambridge.org/core/journals/bjpsych-advances/article/drugcentred-psychopharmacology-a-nondiagnostic-framework-for-drug-treatment/39BD134F14AC49E4291045D3DED4E81C" TargetMode="External"/><Relationship Id="rId2" Type="http://schemas.openxmlformats.org/officeDocument/2006/relationships/hyperlink" Target="https://www.madinamerica.com/2022/08/psychiatry-fraud-and-the-case-for-a-class-action-lawsuit/" TargetMode="External"/><Relationship Id="rId1" Type="http://schemas.openxmlformats.org/officeDocument/2006/relationships/hyperlink" Target="https://www.nature.com/articles/s41380-022-01661-0" TargetMode="External"/><Relationship Id="rId6" Type="http://schemas.openxmlformats.org/officeDocument/2006/relationships/hyperlink" Target="https://wildfloweralliance.org/wp-content/uploads/2021/01/CHARTER_alt2su_August-edits.pdf" TargetMode="External"/><Relationship Id="rId5" Type="http://schemas.openxmlformats.org/officeDocument/2006/relationships/hyperlink" Target="http://www.intentionalpeersupport.org" TargetMode="External"/><Relationship Id="rId4" Type="http://schemas.openxmlformats.org/officeDocument/2006/relationships/hyperlink" Target="https://www.reimaginingcrisissuppor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3363</Words>
  <Characters>19640</Characters>
  <Application>Microsoft Office Word</Application>
  <DocSecurity>8</DocSecurity>
  <Lines>357</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Minkowitz</dc:creator>
  <cp:keywords/>
  <dc:description/>
  <cp:lastModifiedBy>Tina Minkowitz</cp:lastModifiedBy>
  <cp:revision>4</cp:revision>
  <dcterms:created xsi:type="dcterms:W3CDTF">2022-08-29T21:01:00Z</dcterms:created>
  <dcterms:modified xsi:type="dcterms:W3CDTF">2022-08-29T21:06:00Z</dcterms:modified>
</cp:coreProperties>
</file>