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71E52" w14:textId="5EB5733F" w:rsidR="000A2738" w:rsidRDefault="000A2738" w:rsidP="006E35C2">
      <w:pPr>
        <w:rPr>
          <w:b/>
        </w:rPr>
      </w:pPr>
      <w:r>
        <w:rPr>
          <w:noProof/>
        </w:rPr>
        <w:drawing>
          <wp:inline distT="0" distB="0" distL="0" distR="0" wp14:anchorId="72131133" wp14:editId="6087BF25">
            <wp:extent cx="2007048" cy="14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USPlogo2 copy.jpg"/>
                    <pic:cNvPicPr/>
                  </pic:nvPicPr>
                  <pic:blipFill>
                    <a:blip r:embed="rId8">
                      <a:extLst>
                        <a:ext uri="{28A0092B-C50C-407E-A947-70E740481C1C}">
                          <a14:useLocalDpi xmlns:a14="http://schemas.microsoft.com/office/drawing/2010/main" val="0"/>
                        </a:ext>
                      </a:extLst>
                    </a:blip>
                    <a:stretch>
                      <a:fillRect/>
                    </a:stretch>
                  </pic:blipFill>
                  <pic:spPr>
                    <a:xfrm>
                      <a:off x="0" y="0"/>
                      <a:ext cx="2007266" cy="1485962"/>
                    </a:xfrm>
                    <a:prstGeom prst="rect">
                      <a:avLst/>
                    </a:prstGeom>
                  </pic:spPr>
                </pic:pic>
              </a:graphicData>
            </a:graphic>
          </wp:inline>
        </w:drawing>
      </w:r>
    </w:p>
    <w:p w14:paraId="116DACC2" w14:textId="77777777" w:rsidR="000A2738" w:rsidRDefault="000A2738" w:rsidP="006E35C2"/>
    <w:p w14:paraId="396D4416" w14:textId="50A0F36B" w:rsidR="000A2738" w:rsidRDefault="000A2738" w:rsidP="000A2738">
      <w:pPr>
        <w:jc w:val="right"/>
      </w:pPr>
      <w:r>
        <w:t>Tina Minkowitz, Esq.</w:t>
      </w:r>
    </w:p>
    <w:p w14:paraId="52BCE4C1" w14:textId="666A6B63" w:rsidR="000A2738" w:rsidRDefault="000A2738" w:rsidP="000A2738">
      <w:pPr>
        <w:jc w:val="right"/>
      </w:pPr>
      <w:r>
        <w:t>30 May</w:t>
      </w:r>
      <w:r w:rsidR="006C6FED">
        <w:t xml:space="preserve">  </w:t>
      </w:r>
      <w:bookmarkStart w:id="0" w:name="_GoBack"/>
      <w:bookmarkEnd w:id="0"/>
      <w:r>
        <w:t>2017</w:t>
      </w:r>
    </w:p>
    <w:p w14:paraId="711E9942" w14:textId="77777777" w:rsidR="00967F45" w:rsidRDefault="00967F45" w:rsidP="00967F45">
      <w:pPr>
        <w:rPr>
          <w:b/>
        </w:rPr>
      </w:pPr>
    </w:p>
    <w:p w14:paraId="36F5071C" w14:textId="3DEA5BE2" w:rsidR="00967F45" w:rsidRDefault="00967F45" w:rsidP="00967F45">
      <w:pPr>
        <w:rPr>
          <w:b/>
        </w:rPr>
      </w:pPr>
      <w:r w:rsidRPr="000A2738">
        <w:rPr>
          <w:b/>
        </w:rPr>
        <w:t xml:space="preserve">Submission to </w:t>
      </w:r>
      <w:r>
        <w:rPr>
          <w:b/>
        </w:rPr>
        <w:t xml:space="preserve">Special Rapporteur on the Rights of Persons with Disabilities </w:t>
      </w:r>
      <w:r>
        <w:rPr>
          <w:b/>
        </w:rPr>
        <w:t xml:space="preserve">for </w:t>
      </w:r>
      <w:r>
        <w:rPr>
          <w:b/>
        </w:rPr>
        <w:t xml:space="preserve">study on liberty and security of persons with disabilities   </w:t>
      </w:r>
    </w:p>
    <w:p w14:paraId="64B2B5CB" w14:textId="77777777" w:rsidR="00967F45" w:rsidRDefault="00967F45" w:rsidP="00967F45">
      <w:pPr>
        <w:rPr>
          <w:b/>
        </w:rPr>
      </w:pPr>
    </w:p>
    <w:p w14:paraId="750D9073" w14:textId="77777777" w:rsidR="00967F45" w:rsidRPr="000A2738" w:rsidRDefault="00967F45" w:rsidP="00967F45">
      <w:pPr>
        <w:rPr>
          <w:b/>
        </w:rPr>
      </w:pPr>
      <w:r w:rsidRPr="000A2738">
        <w:rPr>
          <w:b/>
        </w:rPr>
        <w:t>U.S. framework and practice of commitment and forced treatment in mental health services</w:t>
      </w:r>
    </w:p>
    <w:p w14:paraId="70E750A4" w14:textId="77777777" w:rsidR="00967F45" w:rsidRDefault="00967F45" w:rsidP="006E35C2"/>
    <w:p w14:paraId="3A748A21" w14:textId="77777777" w:rsidR="008A15C6" w:rsidRDefault="00C1230D" w:rsidP="006E35C2">
      <w:pPr>
        <w:pStyle w:val="ListParagraph"/>
        <w:numPr>
          <w:ilvl w:val="0"/>
          <w:numId w:val="1"/>
        </w:numPr>
      </w:pPr>
      <w:r>
        <w:t>National framework</w:t>
      </w:r>
    </w:p>
    <w:p w14:paraId="23E3F6BF" w14:textId="77777777" w:rsidR="006E35C2" w:rsidRDefault="006E35C2" w:rsidP="006E35C2"/>
    <w:p w14:paraId="7B7DC04B" w14:textId="77777777" w:rsidR="006E35C2" w:rsidRDefault="006E35C2" w:rsidP="006E35C2">
      <w:r>
        <w:t xml:space="preserve">Under the US constitution, federal legislation is limited to areas specifically mandated to Congress; all other matters are reserved to the states.  Matters under state jurisdiction include mental health acts that authorize commitment and forced treatment.  </w:t>
      </w:r>
      <w:r w:rsidR="00B37AA8">
        <w:t xml:space="preserve">However </w:t>
      </w:r>
      <w:r w:rsidR="00863710">
        <w:t>the 14</w:t>
      </w:r>
      <w:r w:rsidR="00863710" w:rsidRPr="00863710">
        <w:rPr>
          <w:vertAlign w:val="superscript"/>
        </w:rPr>
        <w:t>th</w:t>
      </w:r>
      <w:r w:rsidR="00863710">
        <w:t xml:space="preserve"> Amendment to </w:t>
      </w:r>
      <w:r w:rsidR="00B37AA8">
        <w:t xml:space="preserve">the federal constitution contains limitations </w:t>
      </w:r>
      <w:r w:rsidR="00863710">
        <w:t xml:space="preserve">to any deprivation of liberty, </w:t>
      </w:r>
      <w:r w:rsidR="00B37AA8">
        <w:t xml:space="preserve">based on the concept of due process.  No case has ever upheld </w:t>
      </w:r>
      <w:r w:rsidR="00FE3ACE">
        <w:t xml:space="preserve">a ban on commitment or forced treatment; instead a series of cases has defined criteria for procedural due process such as ‘clear and convincing evidence’ standard for involuntary commitment, Addington v Texas, 441 U.S. 418 (1979), and the need to show a compelling state interest in order to justify involuntary medication, Sell v US, 539 U.S. 166 (2003).  </w:t>
      </w:r>
      <w:r w:rsidR="00865850">
        <w:t>Nor has the court ever considered whether these frameworks d</w:t>
      </w:r>
      <w:r w:rsidR="00863710">
        <w:t>iscriminate based on disability in violation of another prong of the 14</w:t>
      </w:r>
      <w:r w:rsidR="00863710" w:rsidRPr="00863710">
        <w:rPr>
          <w:vertAlign w:val="superscript"/>
        </w:rPr>
        <w:t>th</w:t>
      </w:r>
      <w:r w:rsidR="00863710">
        <w:t xml:space="preserve"> Amendment that guarantees equal protection of the law.   </w:t>
      </w:r>
    </w:p>
    <w:p w14:paraId="22470551" w14:textId="77777777" w:rsidR="00863710" w:rsidRDefault="00863710" w:rsidP="006E35C2"/>
    <w:p w14:paraId="19A3C8DF" w14:textId="77777777" w:rsidR="00B504B1" w:rsidRDefault="00863710" w:rsidP="006E35C2">
      <w:r>
        <w:t xml:space="preserve">Federal civil rights legislation </w:t>
      </w:r>
      <w:r w:rsidR="0067530A">
        <w:t>such as the</w:t>
      </w:r>
      <w:r>
        <w:t xml:space="preserve"> Americans with Disabilities Act </w:t>
      </w:r>
      <w:r w:rsidR="0067530A">
        <w:t>is another avenue for national standards to be applied against state laws and practices.  The case Olmstead v U.S. held that ‘unnecessary institutionalization’ as dete</w:t>
      </w:r>
      <w:r w:rsidR="00C1230D">
        <w:t xml:space="preserve">rmined by the state’s treating </w:t>
      </w:r>
      <w:r w:rsidR="0067530A">
        <w:t xml:space="preserve">professionals violated the ADA; this </w:t>
      </w:r>
      <w:r w:rsidR="00C1230D">
        <w:t xml:space="preserve">clearly does not overturn the practice of long- or short-term commitment according to mental health acts but rather calls for deinstitutionalization of those individuals whom psychiatrists deem fit to live in the community.   </w:t>
      </w:r>
    </w:p>
    <w:p w14:paraId="3B5DE1B0" w14:textId="77777777" w:rsidR="00B504B1" w:rsidRDefault="00B504B1" w:rsidP="006E35C2"/>
    <w:p w14:paraId="1BA7EC24" w14:textId="77777777" w:rsidR="00C1230D" w:rsidRDefault="00C1230D" w:rsidP="006E35C2">
      <w:r>
        <w:t>A bill drafted in cooperation with the disability rights movement, the Disability Integration Act, S. 910  (115</w:t>
      </w:r>
      <w:r w:rsidRPr="00C1230D">
        <w:rPr>
          <w:vertAlign w:val="superscript"/>
        </w:rPr>
        <w:t>th</w:t>
      </w:r>
      <w:r>
        <w:t xml:space="preserve"> Congress), would go further than Olmstead by creating an enforceable right to receive long-term support services in community </w:t>
      </w:r>
      <w:r>
        <w:lastRenderedPageBreak/>
        <w:t>settings</w:t>
      </w:r>
      <w:r w:rsidR="0084224F">
        <w:t xml:space="preserve"> rather than institutions</w:t>
      </w:r>
      <w:r w:rsidR="00B504B1">
        <w:t>, including services for intermittent and emergent needs,</w:t>
      </w:r>
      <w:r>
        <w:t xml:space="preserve"> </w:t>
      </w:r>
      <w:r w:rsidR="00B504B1">
        <w:t>‘in which an individual has rights to…  freedom from coercion and restraint.’ While this language is not absolute, it has potential to move law and policy ‘in the direction of a totally voluntary community-based mental health sys</w:t>
      </w:r>
      <w:r w:rsidR="0084224F">
        <w:t xml:space="preserve">tem’ as recommended in January </w:t>
      </w:r>
      <w:r w:rsidR="00B504B1">
        <w:t>2000 by the National Council on Disability, a federal advisory body.</w:t>
      </w:r>
      <w:r w:rsidR="00B504B1">
        <w:rPr>
          <w:rStyle w:val="FootnoteReference"/>
        </w:rPr>
        <w:footnoteReference w:id="1"/>
      </w:r>
    </w:p>
    <w:p w14:paraId="141AD455" w14:textId="77777777" w:rsidR="006E35C2" w:rsidRDefault="0067530A" w:rsidP="006E35C2">
      <w:r>
        <w:t xml:space="preserve"> </w:t>
      </w:r>
    </w:p>
    <w:p w14:paraId="64507DA5" w14:textId="77777777" w:rsidR="00E9508F" w:rsidRDefault="00E9508F" w:rsidP="006E35C2">
      <w:pPr>
        <w:pStyle w:val="ListParagraph"/>
        <w:numPr>
          <w:ilvl w:val="0"/>
          <w:numId w:val="1"/>
        </w:numPr>
      </w:pPr>
      <w:r>
        <w:t>Legal doctrines underlying commitment and forced treatment</w:t>
      </w:r>
    </w:p>
    <w:p w14:paraId="7EF108B1" w14:textId="77777777" w:rsidR="00E9508F" w:rsidRDefault="00E9508F" w:rsidP="00E9508F"/>
    <w:p w14:paraId="7FE761C3" w14:textId="77777777" w:rsidR="00E9508F" w:rsidRDefault="00E9508F" w:rsidP="00E9508F">
      <w:r>
        <w:t>The dual principles invoked to justify commitment and forced treatment</w:t>
      </w:r>
      <w:r w:rsidR="00D07F44">
        <w:t xml:space="preserve"> under mental health legislation</w:t>
      </w:r>
      <w:r>
        <w:t xml:space="preserve"> are the state’s parens patriae power and the state’s police power.</w:t>
      </w:r>
      <w:r w:rsidR="00D07F44">
        <w:rPr>
          <w:rStyle w:val="FootnoteReference"/>
        </w:rPr>
        <w:footnoteReference w:id="2"/>
      </w:r>
      <w:r>
        <w:t xml:space="preserve">   These principles correspond respectively to the denial of legal </w:t>
      </w:r>
      <w:r w:rsidR="00D07F44">
        <w:t>capacity and the discriminatory application of a separate system of social control beyond ordinary law enforcement, which amounts to arbitrary detention.   Similarly they enact and reinforce the stereotypes of incompetence and dangerousness leveled against people with psychosocial disabilities.</w:t>
      </w:r>
      <w:r w:rsidR="0084224F">
        <w:t xml:space="preserve">  The Supreme Court case O’Connor v Donaldson, 422 U.S. 563 (1975), </w:t>
      </w:r>
      <w:r w:rsidR="001241DD">
        <w:t xml:space="preserve">rejected purely custodial care and suggested that the danger criterion and possibly also the need for treatment criterion were permissible.  </w:t>
      </w:r>
    </w:p>
    <w:p w14:paraId="6A9E7298" w14:textId="77777777" w:rsidR="00E9508F" w:rsidRDefault="00E9508F" w:rsidP="00E9508F"/>
    <w:p w14:paraId="5B9F1BB1" w14:textId="77777777" w:rsidR="00434AB3" w:rsidRDefault="00434AB3" w:rsidP="006E35C2">
      <w:pPr>
        <w:pStyle w:val="ListParagraph"/>
        <w:numPr>
          <w:ilvl w:val="0"/>
          <w:numId w:val="1"/>
        </w:numPr>
      </w:pPr>
      <w:r>
        <w:t>Example of state framework</w:t>
      </w:r>
    </w:p>
    <w:p w14:paraId="01F6336A" w14:textId="77777777" w:rsidR="00434AB3" w:rsidRDefault="00434AB3" w:rsidP="00434AB3"/>
    <w:p w14:paraId="5D1F2260" w14:textId="77777777" w:rsidR="00434AB3" w:rsidRDefault="00434AB3" w:rsidP="00434AB3">
      <w:r>
        <w:t xml:space="preserve">Article 9 of the Mental Hygiene Law of New York </w:t>
      </w:r>
      <w:r w:rsidR="005B37A5">
        <w:t>deals with ‘Hospitalization of the Mentally Ill’.</w:t>
      </w:r>
      <w:r>
        <w:t xml:space="preserve">  All of the provisions in Article 9</w:t>
      </w:r>
      <w:r w:rsidR="005B37A5">
        <w:t xml:space="preserve"> with one exception</w:t>
      </w:r>
      <w:r>
        <w:t xml:space="preserve"> deal with permissible criteria and procedures for involuntary adm</w:t>
      </w:r>
      <w:r w:rsidR="005B37A5">
        <w:t>ission and retention, court proceedings related to these matters, and involuntary outpatient commitment or compulsory treatment in the community, euphemized as ‘Assisted Outpatient Treatment’</w:t>
      </w:r>
      <w:r w:rsidR="00786F9D">
        <w:t xml:space="preserve"> (section 9.60)</w:t>
      </w:r>
      <w:r w:rsidR="005B37A5">
        <w:t xml:space="preserve">.  The sole exception to involuntary commitment is section 9.15 on informal admissions, which has fallen into disuse.  ‘Voluntary’ admissions under section 9.13 are not truly voluntary as the hospital can retain the person involuntary on a 72-hour hold when the person requests discharge, and subsequently change their status to involuntary.  </w:t>
      </w:r>
      <w:r w:rsidR="00786F9D">
        <w:t>Duration of initial involuntary admissions can be for 72 hours (section</w:t>
      </w:r>
      <w:r w:rsidR="00B21570">
        <w:t>s</w:t>
      </w:r>
      <w:r w:rsidR="00A008C9">
        <w:t xml:space="preserve"> 9.37</w:t>
      </w:r>
      <w:r w:rsidR="00A008C9">
        <w:rPr>
          <w:rStyle w:val="FootnoteReference"/>
        </w:rPr>
        <w:footnoteReference w:id="3"/>
      </w:r>
      <w:r w:rsidR="00A008C9">
        <w:t xml:space="preserve"> and 9.40</w:t>
      </w:r>
      <w:r w:rsidR="00B21570">
        <w:t>), 15 days (section 9.39), or 60 days (section 9.</w:t>
      </w:r>
      <w:r w:rsidR="00A008C9">
        <w:t xml:space="preserve">27 and 9.31).  </w:t>
      </w:r>
    </w:p>
    <w:p w14:paraId="0E76B7EA" w14:textId="77777777" w:rsidR="00A008C9" w:rsidRDefault="00A008C9" w:rsidP="00434AB3"/>
    <w:p w14:paraId="7B7A39DC" w14:textId="77777777" w:rsidR="00A008C9" w:rsidRDefault="00A008C9" w:rsidP="00434AB3">
      <w:r>
        <w:t xml:space="preserve">Each of these forms of involuntary admission and retention is contrary to the prohibition of impairment-based detention under the CRPD and </w:t>
      </w:r>
      <w:r w:rsidR="00B04F38">
        <w:t xml:space="preserve">general principles of international law, in particular the principle of non-discrimination in enjoyment of the right to liberty and security of the person.  The provision on informal admission is the only part of Article 9 </w:t>
      </w:r>
      <w:r w:rsidR="001B2BDC">
        <w:t>that could be transferred to a</w:t>
      </w:r>
      <w:r w:rsidR="00B04F38">
        <w:t xml:space="preserve"> future human rights-compliant law and policy, if it is necessary to establish positive law on the question of admission to mental health facilities based on free and informed consent of the person concerned.</w:t>
      </w:r>
    </w:p>
    <w:p w14:paraId="1B0AB36C" w14:textId="77777777" w:rsidR="00434AB3" w:rsidRDefault="00434AB3" w:rsidP="00434AB3"/>
    <w:p w14:paraId="0491EB83" w14:textId="77777777" w:rsidR="006E35C2" w:rsidRDefault="00F66D07" w:rsidP="006E35C2">
      <w:pPr>
        <w:pStyle w:val="ListParagraph"/>
        <w:numPr>
          <w:ilvl w:val="0"/>
          <w:numId w:val="1"/>
        </w:numPr>
      </w:pPr>
      <w:r>
        <w:t>Capacity plus best interest for forced treatment</w:t>
      </w:r>
    </w:p>
    <w:p w14:paraId="6D04B9AF" w14:textId="77777777" w:rsidR="00F66D07" w:rsidRDefault="00F66D07" w:rsidP="00F66D07"/>
    <w:p w14:paraId="69545825" w14:textId="78946A8F" w:rsidR="00F66D07" w:rsidRDefault="000B068E" w:rsidP="00F66D07">
      <w:r>
        <w:t>Two</w:t>
      </w:r>
      <w:r w:rsidR="00F1384D">
        <w:t xml:space="preserve"> leading cases, Rogers v Okin</w:t>
      </w:r>
      <w:r>
        <w:t>, 478 F.Supp. 1342 (D. Mass 1979)</w:t>
      </w:r>
      <w:r w:rsidR="00F1384D">
        <w:t xml:space="preserve"> and Rivers v Katz,</w:t>
      </w:r>
      <w:r w:rsidR="00700D84">
        <w:t xml:space="preserve"> 67 N.Y.2d 485 (1986),</w:t>
      </w:r>
      <w:r w:rsidR="00F1384D">
        <w:t xml:space="preserve"> established the principle that people on involuntary </w:t>
      </w:r>
      <w:r>
        <w:t xml:space="preserve">as well as voluntary </w:t>
      </w:r>
      <w:r w:rsidR="00F1384D">
        <w:t xml:space="preserve">admission status had a right to refuse </w:t>
      </w:r>
      <w:r>
        <w:t xml:space="preserve">‘non-emergency’ </w:t>
      </w:r>
      <w:r w:rsidR="00F1384D">
        <w:t xml:space="preserve">treatment so long as they had the ‘capacity’ to make a treatment decision.  As a result of these cases, </w:t>
      </w:r>
      <w:r w:rsidR="006F06F2">
        <w:t>a court hearing is necessary prior to ‘parens patriae’ forced treatment, while the ‘police power’ remains as a separate source of authority f</w:t>
      </w:r>
      <w:r w:rsidR="009F0A52">
        <w:t xml:space="preserve">or ‘emergency’ forced drugging.  </w:t>
      </w:r>
      <w:r w:rsidR="006F06F2">
        <w:t>In 1997 I observed hearings in one New York court and found that only a few exceptional cases upheld a person’s refusal.</w:t>
      </w:r>
      <w:r w:rsidR="006F06F2">
        <w:rPr>
          <w:rStyle w:val="FootnoteReference"/>
        </w:rPr>
        <w:footnoteReference w:id="4"/>
      </w:r>
      <w:r w:rsidR="006F06F2">
        <w:t xml:space="preserve">  In practice, the hospital hol</w:t>
      </w:r>
      <w:r w:rsidR="002250E2">
        <w:t xml:space="preserve">ds over people the leverage of involuntary retention, whether a person is on voluntary or involuntary status, so that it is almost unheard of to successfully maintain a refusal of psychiatric medication and most individuals desist from refusal and </w:t>
      </w:r>
      <w:r w:rsidR="00700D84">
        <w:t xml:space="preserve">at best try to negotiate one drug rather than another or the dosage.   </w:t>
      </w:r>
    </w:p>
    <w:p w14:paraId="63C68118" w14:textId="77777777" w:rsidR="00F66D07" w:rsidRDefault="00F66D07" w:rsidP="00F66D07"/>
    <w:p w14:paraId="51536702" w14:textId="77777777" w:rsidR="00F66D07" w:rsidRDefault="00F66D07" w:rsidP="006E35C2">
      <w:pPr>
        <w:pStyle w:val="ListParagraph"/>
        <w:numPr>
          <w:ilvl w:val="0"/>
          <w:numId w:val="1"/>
        </w:numPr>
      </w:pPr>
      <w:r>
        <w:t>Advance directives</w:t>
      </w:r>
    </w:p>
    <w:p w14:paraId="4E016982" w14:textId="77777777" w:rsidR="004B66D3" w:rsidRDefault="004B66D3" w:rsidP="004B66D3"/>
    <w:p w14:paraId="127F9CC7" w14:textId="31F1B383" w:rsidR="004B66D3" w:rsidRDefault="0083175F" w:rsidP="004B66D3">
      <w:r>
        <w:t xml:space="preserve">A federal court of appeals case, Hargrave v Vermont, 340 F.2d 27 (2d Cir. Vt. 2003) held that psychiatric advance directives had to be upheld as valid </w:t>
      </w:r>
      <w:r w:rsidR="007C02A7">
        <w:t xml:space="preserve">to refuse treatment just as advance directives are valid in other medical contexts; to do otherwise constitutes discrimination in violation of the ADA.  However, this decision is binding only in the states of Vermont, New York and Connecticut, which are under the jurisdiction of the Second Circuit.  </w:t>
      </w:r>
    </w:p>
    <w:p w14:paraId="13E5814D" w14:textId="77777777" w:rsidR="007C02A7" w:rsidRDefault="007C02A7" w:rsidP="004B66D3"/>
    <w:p w14:paraId="669E1AE5" w14:textId="0D615FB0" w:rsidR="007C02A7" w:rsidRDefault="007C02A7" w:rsidP="004B66D3">
      <w:r>
        <w:t xml:space="preserve">Advance directives in mental health have not been used </w:t>
      </w:r>
      <w:r w:rsidR="00AA53C3">
        <w:t xml:space="preserve">as a legal instrument </w:t>
      </w:r>
      <w:r>
        <w:t>to refuse hospitalizatio</w:t>
      </w:r>
      <w:r w:rsidR="00AA53C3">
        <w:t>n, which rests on the state’s police power in addition to its parens patriae power.  This limits the value of advance directives since the hospital uses threats and incentives to secure the person’s compliance.  In addition, it would appear that ‘emergency’/police power forced drugging, or chemical restraint, similarly is not reachable by an advance directive.</w:t>
      </w:r>
    </w:p>
    <w:p w14:paraId="44AE306C" w14:textId="77777777" w:rsidR="004B66D3" w:rsidRDefault="004B66D3" w:rsidP="004B66D3"/>
    <w:p w14:paraId="07A3AA25" w14:textId="77777777" w:rsidR="00F66D07" w:rsidRDefault="00F66D07" w:rsidP="006E35C2">
      <w:pPr>
        <w:pStyle w:val="ListParagraph"/>
        <w:numPr>
          <w:ilvl w:val="0"/>
          <w:numId w:val="1"/>
        </w:numPr>
      </w:pPr>
      <w:r>
        <w:t>Outpatient commitment</w:t>
      </w:r>
    </w:p>
    <w:p w14:paraId="51291C32" w14:textId="77777777" w:rsidR="00927220" w:rsidRDefault="00927220" w:rsidP="00927220"/>
    <w:p w14:paraId="09DF5809" w14:textId="0ECE9239" w:rsidR="00927220" w:rsidRDefault="00927220" w:rsidP="00927220">
      <w:r>
        <w:t>Forty-four U.S. states have outpatient commitment laws (compulsory treatment in the community, in NY euphemized as ‘assisted outpatient treatment’).   The New York State Court of Appeals (highest state appellate court, distinct from federal Courts of Appeal) held in In re K.L., 1 N.Y.3d 362 (2004), that a determination of incapacity was not necessary since the judicial order to submit to treatment did not contain any enforcement mechanism and noncompliance only triggered increased scrutiny by the physician, who was then obligated to follow the commitment procedures in Article 9.  In practice these orders are often obtained with little or no effective due process, as hospitals seek an ‘AOT’ order when the person is still under involuntary retention and leverage all power at their disposal to induce the person to desist from any challenges.   AOT orders generally require the person to submit to home visits and medication monitoring, and may direct the person’s daily activities (such as day hospitalization) and living arrangement (such as housing operated by a mental health program).  The advent of outpatient commitment, which has existed in New York since 1999, vastly tightened the ‘culture of compliance’ that, together with a benefits structure and housing policy that limit access to affordable housing outside mental health programs, and the myth of the chemical imbalance and low expectations for people who have been hospitalized, result in too many people being trapped in mental health services, including periods of forced hospitalization and forced treatment, with no way out.  As AOT/IOC/CTO authorizes treatment without the free and informed consent of the person concerned, coerced compliance, it amounts to forced treatment and a violation of legal capacity under human rights standards irrespective of the technicalities of enforcement.</w:t>
      </w:r>
    </w:p>
    <w:p w14:paraId="58410CFC" w14:textId="77777777" w:rsidR="00927220" w:rsidRDefault="00927220" w:rsidP="00927220"/>
    <w:p w14:paraId="261975E2" w14:textId="4AFFDDB5" w:rsidR="00927220" w:rsidRDefault="000A2738" w:rsidP="006E35C2">
      <w:pPr>
        <w:pStyle w:val="ListParagraph"/>
        <w:numPr>
          <w:ilvl w:val="0"/>
          <w:numId w:val="1"/>
        </w:numPr>
      </w:pPr>
      <w:r>
        <w:t>Concluding remarks</w:t>
      </w:r>
    </w:p>
    <w:p w14:paraId="2CC30EEE" w14:textId="77777777" w:rsidR="00F66D07" w:rsidRDefault="00F66D07" w:rsidP="00F66D07"/>
    <w:p w14:paraId="4973A89F" w14:textId="33CF1433" w:rsidR="00120B6C" w:rsidRDefault="00927220" w:rsidP="00F66D07">
      <w:r>
        <w:t xml:space="preserve">The United States is a large country, urban and rural, economically and ethnically diverse, with over 50 separate jurisdictions with their own mental health laws.   A full study would disclose additional nuances. </w:t>
      </w:r>
    </w:p>
    <w:p w14:paraId="4E243BD3" w14:textId="77777777" w:rsidR="00120B6C" w:rsidRDefault="00120B6C" w:rsidP="00F66D07"/>
    <w:p w14:paraId="25CC5D8A" w14:textId="0584BF84" w:rsidR="00927220" w:rsidRDefault="00927220" w:rsidP="00F66D07">
      <w:r>
        <w:t xml:space="preserve">I have not </w:t>
      </w:r>
      <w:r w:rsidR="00120B6C">
        <w:t xml:space="preserve">yet </w:t>
      </w:r>
      <w:r>
        <w:t>addressed the forensic psychiatric system,</w:t>
      </w:r>
      <w:r w:rsidR="00222D71">
        <w:t xml:space="preserve"> in which p</w:t>
      </w:r>
      <w:r>
        <w:t xml:space="preserve">eople are incarcerated </w:t>
      </w:r>
      <w:r w:rsidR="00222D71">
        <w:t>as incompetent to stand trial or not guilty by reason of insanity (or the equivalent).  Law enforcement often plays a role in civil commitment, and the law enforcement and penal systems work hand in hand with psychiatric commitment and forced treatment in a number of ways, including mental health courts (diversion from criminal justice system to mental health), forced treatment in prisons and jails even apart from forensic psychiatric institutions, and giving people under arrest the option of psychiatric admission as an alternative to criminal charges.</w:t>
      </w:r>
      <w:r w:rsidR="00222D71">
        <w:rPr>
          <w:rStyle w:val="FootnoteReference"/>
        </w:rPr>
        <w:footnoteReference w:id="5"/>
      </w:r>
      <w:r w:rsidR="00222D71">
        <w:t xml:space="preserve">  </w:t>
      </w:r>
      <w:r w:rsidR="00120B6C">
        <w:t>Law enforcement personnel have killed people when responding to calls that aimed for the person’s civil commitment; the group Surviving Race: the Intersection of Injustice, Disability and Human Rights has put out an informational flyer on ‘safety from the police’ that recommends to avoid calling 911 (police/emergency) for supposed ‘mental health’ reasons</w:t>
      </w:r>
      <w:r w:rsidR="009E41ED">
        <w:t xml:space="preserve"> and to ‘stop psychiatric profiling’.</w:t>
      </w:r>
    </w:p>
    <w:p w14:paraId="50B3E745" w14:textId="77777777" w:rsidR="009E41ED" w:rsidRDefault="009E41ED" w:rsidP="00F66D07"/>
    <w:p w14:paraId="0798413A" w14:textId="030FE280" w:rsidR="009E41ED" w:rsidRDefault="009E41ED" w:rsidP="00F66D07">
      <w:r>
        <w:t xml:space="preserve">Racism and sexism, poverty, criminalization, other kinds of disability, and discrimination based on sexual orientation or gender identity/expression can all impact people’s experience of psychiatric commitment and forced treatment.  Social services as well as law enforcement play a role in funneling people into this regime of detention and bodily subjection that marks </w:t>
      </w:r>
      <w:r w:rsidR="00722DC2">
        <w:t xml:space="preserve">them with an inferior caste status.  The system as a whole needs to be dismantled, and requires fulfillment of all the person’s human rights at the same time, rather than delaying freedom until suitable housing is found or taking no action to provide housing for people released from hospitalization.  </w:t>
      </w:r>
    </w:p>
    <w:p w14:paraId="6B9660E3" w14:textId="77777777" w:rsidR="00722DC2" w:rsidRDefault="00722DC2" w:rsidP="00F66D07"/>
    <w:p w14:paraId="1370E9B2" w14:textId="4679F102" w:rsidR="00722DC2" w:rsidRDefault="00722DC2" w:rsidP="00F66D07">
      <w:r>
        <w:t>The absolute prohibition of commitment and forced treatment creates an immediate obligation to release all those concerned from detention – that is to allow them to leave at will, and inform them that they have a right to leave immediately or to stay on based on their own free and informed consent.  Those who leave must be at minimum referred to their choice of mainstream and/or d</w:t>
      </w:r>
      <w:r w:rsidR="000A2738">
        <w:t xml:space="preserve">isability-specific services for social protection and housing.  </w:t>
      </w:r>
      <w:r>
        <w:t xml:space="preserve">While longer processes are necessary to </w:t>
      </w:r>
      <w:r w:rsidR="000A2738">
        <w:t>work with individuals who are not in a position to leave with support, the cessation of arbitrary detention means that no individual who wishes to leave may lawfully be prevented from doing so.</w:t>
      </w:r>
    </w:p>
    <w:sectPr w:rsidR="00722DC2" w:rsidSect="008A15C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C6C15" w14:textId="77777777" w:rsidR="00C779F0" w:rsidRDefault="00C779F0" w:rsidP="00D07F44">
      <w:r>
        <w:separator/>
      </w:r>
    </w:p>
  </w:endnote>
  <w:endnote w:type="continuationSeparator" w:id="0">
    <w:p w14:paraId="30037C6A" w14:textId="77777777" w:rsidR="00C779F0" w:rsidRDefault="00C779F0" w:rsidP="00D0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21DF1" w14:textId="77777777" w:rsidR="00C779F0" w:rsidRDefault="00C779F0" w:rsidP="00D07F44">
      <w:r>
        <w:separator/>
      </w:r>
    </w:p>
  </w:footnote>
  <w:footnote w:type="continuationSeparator" w:id="0">
    <w:p w14:paraId="1343ED8F" w14:textId="77777777" w:rsidR="00C779F0" w:rsidRDefault="00C779F0" w:rsidP="00D07F44">
      <w:r>
        <w:continuationSeparator/>
      </w:r>
    </w:p>
  </w:footnote>
  <w:footnote w:id="1">
    <w:p w14:paraId="5BEBDCA5" w14:textId="77777777" w:rsidR="00C779F0" w:rsidRDefault="00C779F0">
      <w:pPr>
        <w:pStyle w:val="FootnoteText"/>
      </w:pPr>
      <w:r>
        <w:rPr>
          <w:rStyle w:val="FootnoteReference"/>
        </w:rPr>
        <w:footnoteRef/>
      </w:r>
      <w:r>
        <w:t xml:space="preserve"> From Privileges to Rights: People with Psychiatric Disabilities Speak for Themselves,  </w:t>
      </w:r>
      <w:hyperlink r:id="rId1" w:history="1">
        <w:r w:rsidRPr="003069CE">
          <w:rPr>
            <w:rStyle w:val="Hyperlink"/>
          </w:rPr>
          <w:t>https://ncd.gov/publications/2000/Jan202000</w:t>
        </w:r>
      </w:hyperlink>
      <w:r>
        <w:t xml:space="preserve">. </w:t>
      </w:r>
    </w:p>
  </w:footnote>
  <w:footnote w:id="2">
    <w:p w14:paraId="027C8195" w14:textId="77777777" w:rsidR="00C779F0" w:rsidRDefault="00C779F0">
      <w:pPr>
        <w:pStyle w:val="FootnoteText"/>
      </w:pPr>
      <w:r>
        <w:rPr>
          <w:rStyle w:val="FootnoteReference"/>
        </w:rPr>
        <w:footnoteRef/>
      </w:r>
      <w:r>
        <w:t xml:space="preserve"> See Megan Testa and Sara G. West, Civil Commitment in the United States, Psychiatry (Edgmont) 2010 Oct; 7(10): 30-40, available at </w:t>
      </w:r>
      <w:hyperlink r:id="rId2" w:history="1">
        <w:r w:rsidRPr="003069CE">
          <w:rPr>
            <w:rStyle w:val="Hyperlink"/>
          </w:rPr>
          <w:t>https://www.ncbi.nlm.nih.gov/pmc/articles/PMC3392176/</w:t>
        </w:r>
      </w:hyperlink>
      <w:r>
        <w:t xml:space="preserve">. </w:t>
      </w:r>
    </w:p>
  </w:footnote>
  <w:footnote w:id="3">
    <w:p w14:paraId="7D83EA39" w14:textId="77777777" w:rsidR="00C779F0" w:rsidRDefault="00C779F0">
      <w:pPr>
        <w:pStyle w:val="FootnoteText"/>
      </w:pPr>
      <w:r>
        <w:rPr>
          <w:rStyle w:val="FootnoteReference"/>
        </w:rPr>
        <w:footnoteRef/>
      </w:r>
      <w:r>
        <w:t xml:space="preserve"> Although initial period is for 72 hours, it can easily be converted to 60-day admission with certification by a second psychiatrist.</w:t>
      </w:r>
    </w:p>
  </w:footnote>
  <w:footnote w:id="4">
    <w:p w14:paraId="69FDC46A" w14:textId="309B39B4" w:rsidR="00C779F0" w:rsidRPr="004B66D3" w:rsidRDefault="00C779F0">
      <w:pPr>
        <w:pStyle w:val="FootnoteText"/>
      </w:pPr>
      <w:r>
        <w:rPr>
          <w:rStyle w:val="FootnoteReference"/>
        </w:rPr>
        <w:footnoteRef/>
      </w:r>
      <w:r>
        <w:t xml:space="preserve"> Mental Hygiene Law Court Monitoring Project, Part 1 of Report: Do Psychiatric Inmates in New York Have the Right to Refuse Drugs?  An Examination of </w:t>
      </w:r>
      <w:r>
        <w:rPr>
          <w:i/>
        </w:rPr>
        <w:t xml:space="preserve">Rivers </w:t>
      </w:r>
      <w:r>
        <w:t xml:space="preserve">Hearings in the Brooklyn Court, available at </w:t>
      </w:r>
      <w:hyperlink r:id="rId3" w:history="1">
        <w:r w:rsidRPr="00755C02">
          <w:rPr>
            <w:rStyle w:val="Hyperlink"/>
          </w:rPr>
          <w:t>http://psychrights.org/states/newyork/courtmonitoringreport.htm</w:t>
        </w:r>
      </w:hyperlink>
      <w:r>
        <w:t xml:space="preserve">. </w:t>
      </w:r>
    </w:p>
  </w:footnote>
  <w:footnote w:id="5">
    <w:p w14:paraId="3E1442A2" w14:textId="10C97822" w:rsidR="00C779F0" w:rsidRDefault="00C779F0">
      <w:pPr>
        <w:pStyle w:val="FootnoteText"/>
      </w:pPr>
      <w:r>
        <w:rPr>
          <w:rStyle w:val="FootnoteReference"/>
        </w:rPr>
        <w:footnoteRef/>
      </w:r>
      <w:r>
        <w:t xml:space="preserve"> Information about psychiatric admission as alternative to criminal charges comes from Yvonne Smith in Washington, D.C.</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CB3"/>
    <w:multiLevelType w:val="hybridMultilevel"/>
    <w:tmpl w:val="E8302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5C2"/>
    <w:rsid w:val="000A2738"/>
    <w:rsid w:val="000B068E"/>
    <w:rsid w:val="00120B6C"/>
    <w:rsid w:val="001241DD"/>
    <w:rsid w:val="001B2BDC"/>
    <w:rsid w:val="00222D71"/>
    <w:rsid w:val="002250E2"/>
    <w:rsid w:val="00434AB3"/>
    <w:rsid w:val="004B66D3"/>
    <w:rsid w:val="005B37A5"/>
    <w:rsid w:val="005E4EC4"/>
    <w:rsid w:val="0067530A"/>
    <w:rsid w:val="006C6FED"/>
    <w:rsid w:val="006E35C2"/>
    <w:rsid w:val="006F06F2"/>
    <w:rsid w:val="00700D84"/>
    <w:rsid w:val="00722DC2"/>
    <w:rsid w:val="00786F9D"/>
    <w:rsid w:val="007B6A5A"/>
    <w:rsid w:val="007C02A7"/>
    <w:rsid w:val="0083175F"/>
    <w:rsid w:val="0084224F"/>
    <w:rsid w:val="00863710"/>
    <w:rsid w:val="00865850"/>
    <w:rsid w:val="008A15C6"/>
    <w:rsid w:val="0091777D"/>
    <w:rsid w:val="00927220"/>
    <w:rsid w:val="00967F45"/>
    <w:rsid w:val="009E41ED"/>
    <w:rsid w:val="009F0A52"/>
    <w:rsid w:val="00A008C9"/>
    <w:rsid w:val="00AA53C3"/>
    <w:rsid w:val="00B04F38"/>
    <w:rsid w:val="00B21570"/>
    <w:rsid w:val="00B35E3E"/>
    <w:rsid w:val="00B37AA8"/>
    <w:rsid w:val="00B504B1"/>
    <w:rsid w:val="00C008FB"/>
    <w:rsid w:val="00C1230D"/>
    <w:rsid w:val="00C53EB5"/>
    <w:rsid w:val="00C779F0"/>
    <w:rsid w:val="00CF2671"/>
    <w:rsid w:val="00D07F44"/>
    <w:rsid w:val="00E81DB0"/>
    <w:rsid w:val="00E9508F"/>
    <w:rsid w:val="00F1384D"/>
    <w:rsid w:val="00F66D07"/>
    <w:rsid w:val="00FE3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E8C2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5C2"/>
    <w:pPr>
      <w:ind w:left="720"/>
      <w:contextualSpacing/>
    </w:pPr>
  </w:style>
  <w:style w:type="paragraph" w:styleId="FootnoteText">
    <w:name w:val="footnote text"/>
    <w:basedOn w:val="Normal"/>
    <w:link w:val="FootnoteTextChar"/>
    <w:uiPriority w:val="99"/>
    <w:unhideWhenUsed/>
    <w:rsid w:val="00D07F44"/>
  </w:style>
  <w:style w:type="character" w:customStyle="1" w:styleId="FootnoteTextChar">
    <w:name w:val="Footnote Text Char"/>
    <w:basedOn w:val="DefaultParagraphFont"/>
    <w:link w:val="FootnoteText"/>
    <w:uiPriority w:val="99"/>
    <w:rsid w:val="00D07F44"/>
  </w:style>
  <w:style w:type="character" w:styleId="FootnoteReference">
    <w:name w:val="footnote reference"/>
    <w:basedOn w:val="DefaultParagraphFont"/>
    <w:uiPriority w:val="99"/>
    <w:unhideWhenUsed/>
    <w:rsid w:val="00D07F44"/>
    <w:rPr>
      <w:vertAlign w:val="superscript"/>
    </w:rPr>
  </w:style>
  <w:style w:type="character" w:styleId="Hyperlink">
    <w:name w:val="Hyperlink"/>
    <w:basedOn w:val="DefaultParagraphFont"/>
    <w:uiPriority w:val="99"/>
    <w:unhideWhenUsed/>
    <w:rsid w:val="00D07F44"/>
    <w:rPr>
      <w:color w:val="0000FF" w:themeColor="hyperlink"/>
      <w:u w:val="single"/>
    </w:rPr>
  </w:style>
  <w:style w:type="paragraph" w:styleId="BalloonText">
    <w:name w:val="Balloon Text"/>
    <w:basedOn w:val="Normal"/>
    <w:link w:val="BalloonTextChar"/>
    <w:uiPriority w:val="99"/>
    <w:semiHidden/>
    <w:unhideWhenUsed/>
    <w:rsid w:val="000A2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273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5C2"/>
    <w:pPr>
      <w:ind w:left="720"/>
      <w:contextualSpacing/>
    </w:pPr>
  </w:style>
  <w:style w:type="paragraph" w:styleId="FootnoteText">
    <w:name w:val="footnote text"/>
    <w:basedOn w:val="Normal"/>
    <w:link w:val="FootnoteTextChar"/>
    <w:uiPriority w:val="99"/>
    <w:unhideWhenUsed/>
    <w:rsid w:val="00D07F44"/>
  </w:style>
  <w:style w:type="character" w:customStyle="1" w:styleId="FootnoteTextChar">
    <w:name w:val="Footnote Text Char"/>
    <w:basedOn w:val="DefaultParagraphFont"/>
    <w:link w:val="FootnoteText"/>
    <w:uiPriority w:val="99"/>
    <w:rsid w:val="00D07F44"/>
  </w:style>
  <w:style w:type="character" w:styleId="FootnoteReference">
    <w:name w:val="footnote reference"/>
    <w:basedOn w:val="DefaultParagraphFont"/>
    <w:uiPriority w:val="99"/>
    <w:unhideWhenUsed/>
    <w:rsid w:val="00D07F44"/>
    <w:rPr>
      <w:vertAlign w:val="superscript"/>
    </w:rPr>
  </w:style>
  <w:style w:type="character" w:styleId="Hyperlink">
    <w:name w:val="Hyperlink"/>
    <w:basedOn w:val="DefaultParagraphFont"/>
    <w:uiPriority w:val="99"/>
    <w:unhideWhenUsed/>
    <w:rsid w:val="00D07F44"/>
    <w:rPr>
      <w:color w:val="0000FF" w:themeColor="hyperlink"/>
      <w:u w:val="single"/>
    </w:rPr>
  </w:style>
  <w:style w:type="paragraph" w:styleId="BalloonText">
    <w:name w:val="Balloon Text"/>
    <w:basedOn w:val="Normal"/>
    <w:link w:val="BalloonTextChar"/>
    <w:uiPriority w:val="99"/>
    <w:semiHidden/>
    <w:unhideWhenUsed/>
    <w:rsid w:val="000A2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273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ncd.gov/publications/2000/Jan202000" TargetMode="External"/><Relationship Id="rId2" Type="http://schemas.openxmlformats.org/officeDocument/2006/relationships/hyperlink" Target="https://www.ncbi.nlm.nih.gov/pmc/articles/PMC3392176/" TargetMode="External"/><Relationship Id="rId3" Type="http://schemas.openxmlformats.org/officeDocument/2006/relationships/hyperlink" Target="http://psychrights.org/states/newyork/courtmonitoringrepo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1691</Words>
  <Characters>9641</Characters>
  <Application>Microsoft Macintosh Word</Application>
  <DocSecurity>0</DocSecurity>
  <Lines>80</Lines>
  <Paragraphs>22</Paragraphs>
  <ScaleCrop>false</ScaleCrop>
  <Company/>
  <LinksUpToDate>false</LinksUpToDate>
  <CharactersWithSpaces>11310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6</cp:revision>
  <dcterms:created xsi:type="dcterms:W3CDTF">2017-05-30T17:23:00Z</dcterms:created>
  <dcterms:modified xsi:type="dcterms:W3CDTF">2017-05-30T17:34:00Z</dcterms:modified>
</cp:coreProperties>
</file>