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FE6AB" w14:textId="1D85643E" w:rsidR="00035A6C" w:rsidRDefault="00035A6C" w:rsidP="00EA3C20">
      <w:r>
        <w:t>CHRUSP Revised Indicators on Articles 12, 14, 15, 19 and 25 – a Work in Progress</w:t>
      </w:r>
    </w:p>
    <w:p w14:paraId="216350E1" w14:textId="1715A173" w:rsidR="00046A02" w:rsidRDefault="00046A02" w:rsidP="00EA3C20">
      <w:r>
        <w:t>(as of 1 March 2019)</w:t>
      </w:r>
      <w:bookmarkStart w:id="0" w:name="_GoBack"/>
      <w:bookmarkEnd w:id="0"/>
    </w:p>
    <w:p w14:paraId="038C0B33" w14:textId="77777777" w:rsidR="00035A6C" w:rsidRDefault="00035A6C" w:rsidP="00EA3C20"/>
    <w:p w14:paraId="0FC3B038" w14:textId="355BF2D7" w:rsidR="00EA3C20" w:rsidRDefault="00EA3C20" w:rsidP="00EA3C20">
      <w:r>
        <w:t>1. Article 12</w:t>
      </w:r>
    </w:p>
    <w:tbl>
      <w:tblPr>
        <w:tblStyle w:val="TableGrid"/>
        <w:tblW w:w="9198" w:type="dxa"/>
        <w:tblLook w:val="04A0" w:firstRow="1" w:lastRow="0" w:firstColumn="1" w:lastColumn="0" w:noHBand="0" w:noVBand="1"/>
      </w:tblPr>
      <w:tblGrid>
        <w:gridCol w:w="6588"/>
        <w:gridCol w:w="2610"/>
      </w:tblGrid>
      <w:tr w:rsidR="00A75479" w14:paraId="63E5717C" w14:textId="77777777" w:rsidTr="0019000A">
        <w:trPr>
          <w:trHeight w:val="161"/>
        </w:trPr>
        <w:tc>
          <w:tcPr>
            <w:tcW w:w="6588" w:type="dxa"/>
          </w:tcPr>
          <w:p w14:paraId="4A47820D" w14:textId="345504EA" w:rsidR="00EA3C20" w:rsidRDefault="00EA3C20" w:rsidP="00EA3C20">
            <w:r>
              <w:t>Law recognizes capacity to act of all adults.</w:t>
            </w:r>
            <w:r w:rsidR="00D8584E">
              <w:t xml:space="preserve"> </w:t>
            </w:r>
          </w:p>
          <w:p w14:paraId="614BFC5B" w14:textId="3CAA56D4" w:rsidR="00D8584E" w:rsidRDefault="00D8584E" w:rsidP="00EA3C20">
            <w:r>
              <w:t>12-1</w:t>
            </w:r>
          </w:p>
        </w:tc>
        <w:tc>
          <w:tcPr>
            <w:tcW w:w="2610" w:type="dxa"/>
          </w:tcPr>
          <w:p w14:paraId="3B1D08C0" w14:textId="77777777" w:rsidR="00EA3C20" w:rsidRDefault="00EA3C20" w:rsidP="00EA3C20"/>
        </w:tc>
      </w:tr>
      <w:tr w:rsidR="00A75479" w14:paraId="5B897E9E" w14:textId="77777777" w:rsidTr="0019000A">
        <w:trPr>
          <w:trHeight w:val="161"/>
        </w:trPr>
        <w:tc>
          <w:tcPr>
            <w:tcW w:w="6588" w:type="dxa"/>
          </w:tcPr>
          <w:p w14:paraId="6DD1EA57" w14:textId="1C589EF8" w:rsidR="00335318" w:rsidRDefault="00141ADB" w:rsidP="00DA4FDC">
            <w:pPr>
              <w:pStyle w:val="ListParagraph"/>
              <w:numPr>
                <w:ilvl w:val="0"/>
                <w:numId w:val="14"/>
              </w:numPr>
            </w:pPr>
            <w:r>
              <w:t xml:space="preserve">Expression of will defined </w:t>
            </w:r>
            <w:r w:rsidR="00DA4FDC">
              <w:t>for both explicit and tacit forms of expression</w:t>
            </w:r>
            <w:r w:rsidR="00B62A40">
              <w:t>, to include decisions made with support (explicit) and undoubtable attitude or course of conduct (tacit)</w:t>
            </w:r>
            <w:r w:rsidR="0019000A">
              <w:t>.</w:t>
            </w:r>
          </w:p>
          <w:p w14:paraId="0AD7B363" w14:textId="2917F7F4" w:rsidR="00D8584E" w:rsidRDefault="00D8584E" w:rsidP="00D8584E">
            <w:pPr>
              <w:pStyle w:val="ListParagraph"/>
            </w:pPr>
            <w:r>
              <w:t>12-1-1</w:t>
            </w:r>
          </w:p>
        </w:tc>
        <w:tc>
          <w:tcPr>
            <w:tcW w:w="2610" w:type="dxa"/>
          </w:tcPr>
          <w:p w14:paraId="10099AEF" w14:textId="77777777" w:rsidR="00335318" w:rsidRDefault="00335318" w:rsidP="00EA3C20"/>
        </w:tc>
      </w:tr>
      <w:tr w:rsidR="00A75479" w14:paraId="682C08E7" w14:textId="77777777" w:rsidTr="0019000A">
        <w:trPr>
          <w:trHeight w:val="161"/>
        </w:trPr>
        <w:tc>
          <w:tcPr>
            <w:tcW w:w="6588" w:type="dxa"/>
          </w:tcPr>
          <w:p w14:paraId="1790184C" w14:textId="0ED73E41" w:rsidR="00335318" w:rsidRDefault="00C4086A" w:rsidP="00C4086A">
            <w:pPr>
              <w:pStyle w:val="ListParagraph"/>
              <w:numPr>
                <w:ilvl w:val="0"/>
                <w:numId w:val="14"/>
              </w:numPr>
            </w:pPr>
            <w:r>
              <w:t>Legal acts entail responsibility</w:t>
            </w:r>
            <w:r w:rsidR="0019000A">
              <w:t xml:space="preserve"> of person concerned, including those done with support.</w:t>
            </w:r>
          </w:p>
          <w:p w14:paraId="0FD6799D" w14:textId="0E00C81F" w:rsidR="00D8584E" w:rsidRDefault="00D8584E" w:rsidP="00D8584E">
            <w:pPr>
              <w:pStyle w:val="ListParagraph"/>
            </w:pPr>
            <w:r>
              <w:t>12-1-2</w:t>
            </w:r>
          </w:p>
        </w:tc>
        <w:tc>
          <w:tcPr>
            <w:tcW w:w="2610" w:type="dxa"/>
          </w:tcPr>
          <w:p w14:paraId="32044085" w14:textId="77777777" w:rsidR="00335318" w:rsidRDefault="00335318" w:rsidP="00EA3C20"/>
        </w:tc>
      </w:tr>
      <w:tr w:rsidR="00A75479" w14:paraId="241B6DE3" w14:textId="77777777" w:rsidTr="0019000A">
        <w:tc>
          <w:tcPr>
            <w:tcW w:w="6588" w:type="dxa"/>
          </w:tcPr>
          <w:p w14:paraId="3F851F2F" w14:textId="0BA9035F" w:rsidR="00C4086A" w:rsidRDefault="00EA3C20" w:rsidP="00D8584E">
            <w:r>
              <w:t>No restrictions can be placed on an adult’s capaci</w:t>
            </w:r>
            <w:r w:rsidR="00B2303D">
              <w:t>ty to act.</w:t>
            </w:r>
          </w:p>
          <w:p w14:paraId="743F83AD" w14:textId="710A34CC" w:rsidR="00D8584E" w:rsidRDefault="00D8584E" w:rsidP="00D8584E">
            <w:r>
              <w:t>12-2</w:t>
            </w:r>
          </w:p>
        </w:tc>
        <w:tc>
          <w:tcPr>
            <w:tcW w:w="2610" w:type="dxa"/>
          </w:tcPr>
          <w:p w14:paraId="43AB77B0" w14:textId="77777777" w:rsidR="00EA3C20" w:rsidRDefault="00EA3C20" w:rsidP="00EA3C20"/>
        </w:tc>
      </w:tr>
      <w:tr w:rsidR="00A75479" w14:paraId="75FD8612" w14:textId="77777777" w:rsidTr="0019000A">
        <w:tc>
          <w:tcPr>
            <w:tcW w:w="6588" w:type="dxa"/>
          </w:tcPr>
          <w:p w14:paraId="2F987770" w14:textId="31F3EE95" w:rsidR="00D8584E" w:rsidRDefault="00FA4C8C" w:rsidP="00EA3C20">
            <w:pPr>
              <w:pStyle w:val="ListParagraph"/>
              <w:numPr>
                <w:ilvl w:val="0"/>
                <w:numId w:val="15"/>
              </w:numPr>
            </w:pPr>
            <w:r>
              <w:t>No d</w:t>
            </w:r>
            <w:r w:rsidR="00D8584E">
              <w:t>isability</w:t>
            </w:r>
            <w:r w:rsidR="005D75B4">
              <w:t>/impairment</w:t>
            </w:r>
            <w:r w:rsidR="00D8584E">
              <w:t>-based</w:t>
            </w:r>
            <w:r>
              <w:t xml:space="preserve"> or ‘discernment’-based restrictions (Civil Code or equivalent)</w:t>
            </w:r>
          </w:p>
          <w:p w14:paraId="4263542C" w14:textId="072ACAF3" w:rsidR="00D8584E" w:rsidRDefault="00D8584E" w:rsidP="00D8584E">
            <w:pPr>
              <w:pStyle w:val="ListParagraph"/>
            </w:pPr>
            <w:r>
              <w:t>12-2-1</w:t>
            </w:r>
          </w:p>
        </w:tc>
        <w:tc>
          <w:tcPr>
            <w:tcW w:w="2610" w:type="dxa"/>
          </w:tcPr>
          <w:p w14:paraId="77A0FC57" w14:textId="77777777" w:rsidR="00D8584E" w:rsidRDefault="00D8584E" w:rsidP="00EA3C20"/>
        </w:tc>
      </w:tr>
      <w:tr w:rsidR="00A75479" w14:paraId="5ADFEEDC" w14:textId="77777777" w:rsidTr="0019000A">
        <w:tc>
          <w:tcPr>
            <w:tcW w:w="6588" w:type="dxa"/>
          </w:tcPr>
          <w:p w14:paraId="0FB875CA" w14:textId="366A6F66" w:rsidR="00D8584E" w:rsidRDefault="00FA4C8C" w:rsidP="00EA3C20">
            <w:pPr>
              <w:pStyle w:val="ListParagraph"/>
              <w:numPr>
                <w:ilvl w:val="0"/>
                <w:numId w:val="15"/>
              </w:numPr>
            </w:pPr>
            <w:r>
              <w:t>No o</w:t>
            </w:r>
            <w:r w:rsidR="00D8584E">
              <w:t>ther</w:t>
            </w:r>
            <w:r>
              <w:t xml:space="preserve"> restrictions on adult legal capacity, e.g. civil penalty, ‘prodigal’ etc. (Civil Code or equivalent)</w:t>
            </w:r>
          </w:p>
          <w:p w14:paraId="28775FD3" w14:textId="328B91FD" w:rsidR="00D8584E" w:rsidRDefault="00D8584E" w:rsidP="00D8584E">
            <w:pPr>
              <w:pStyle w:val="ListParagraph"/>
            </w:pPr>
            <w:r>
              <w:t>12-2-2</w:t>
            </w:r>
          </w:p>
        </w:tc>
        <w:tc>
          <w:tcPr>
            <w:tcW w:w="2610" w:type="dxa"/>
          </w:tcPr>
          <w:p w14:paraId="06A3F44D" w14:textId="77777777" w:rsidR="00D8584E" w:rsidRDefault="00D8584E" w:rsidP="00EA3C20"/>
        </w:tc>
      </w:tr>
      <w:tr w:rsidR="00A75479" w14:paraId="76DAE8B8" w14:textId="77777777" w:rsidTr="0019000A">
        <w:tc>
          <w:tcPr>
            <w:tcW w:w="6588" w:type="dxa"/>
          </w:tcPr>
          <w:p w14:paraId="2F6C54F4" w14:textId="71EECD05" w:rsidR="00D8584E" w:rsidRDefault="00FA4C8C" w:rsidP="00D8584E">
            <w:pPr>
              <w:pStyle w:val="ListParagraph"/>
              <w:numPr>
                <w:ilvl w:val="0"/>
                <w:numId w:val="15"/>
              </w:numPr>
            </w:pPr>
            <w:r>
              <w:t xml:space="preserve">No restrictions in particular subject matter, such as: </w:t>
            </w:r>
            <w:r w:rsidR="00D8584E">
              <w:t>marriage, parental relationships, voting, health, financial transactions</w:t>
            </w:r>
            <w:r>
              <w:t xml:space="preserve"> (contracts, property, banking), execution of will or other legal instrument,</w:t>
            </w:r>
            <w:r w:rsidR="00D8584E">
              <w:t xml:space="preserve"> legal proceedings</w:t>
            </w:r>
            <w:r>
              <w:t>.</w:t>
            </w:r>
          </w:p>
          <w:p w14:paraId="08D38F25" w14:textId="6A03D766" w:rsidR="00D8584E" w:rsidRDefault="00D8584E" w:rsidP="00D8584E">
            <w:pPr>
              <w:pStyle w:val="ListParagraph"/>
            </w:pPr>
            <w:r>
              <w:t>12-2-3</w:t>
            </w:r>
          </w:p>
        </w:tc>
        <w:tc>
          <w:tcPr>
            <w:tcW w:w="2610" w:type="dxa"/>
          </w:tcPr>
          <w:p w14:paraId="372739A3" w14:textId="77777777" w:rsidR="00D8584E" w:rsidRDefault="00D8584E" w:rsidP="00EA3C20"/>
        </w:tc>
      </w:tr>
      <w:tr w:rsidR="00A75479" w14:paraId="628A28D5" w14:textId="77777777" w:rsidTr="0019000A">
        <w:tc>
          <w:tcPr>
            <w:tcW w:w="6588" w:type="dxa"/>
          </w:tcPr>
          <w:p w14:paraId="306B5E30" w14:textId="77777777" w:rsidR="00EA3C20" w:rsidRDefault="00EA3C20" w:rsidP="00EA3C20">
            <w:r>
              <w:t>Free and informed consent can only be given by the person concerned and not by a third party.</w:t>
            </w:r>
          </w:p>
          <w:p w14:paraId="4B5353DD" w14:textId="22093420" w:rsidR="00D8584E" w:rsidRDefault="00D8584E" w:rsidP="00EA3C20">
            <w:r>
              <w:t>12-3</w:t>
            </w:r>
          </w:p>
        </w:tc>
        <w:tc>
          <w:tcPr>
            <w:tcW w:w="2610" w:type="dxa"/>
          </w:tcPr>
          <w:p w14:paraId="56C51A2E" w14:textId="77777777" w:rsidR="00EA3C20" w:rsidRDefault="00EA3C20" w:rsidP="00EA3C20"/>
        </w:tc>
      </w:tr>
      <w:tr w:rsidR="00A75479" w14:paraId="05511179" w14:textId="77777777" w:rsidTr="0019000A">
        <w:tc>
          <w:tcPr>
            <w:tcW w:w="6588" w:type="dxa"/>
          </w:tcPr>
          <w:p w14:paraId="56217D8D" w14:textId="77777777" w:rsidR="00EA3C20" w:rsidRDefault="00EA3C20" w:rsidP="00EA3C20">
            <w:r>
              <w:t>Notaries, courts, health care providers, financial services and other actors involved in the exercise of legal capacity must ensure that their processes are accessible, offer and provide accommodations, and cooperate with individuals’ chosen support arrangements.</w:t>
            </w:r>
          </w:p>
          <w:p w14:paraId="694D5036" w14:textId="5DDA6077" w:rsidR="00D8584E" w:rsidRDefault="00D8584E" w:rsidP="00EA3C20">
            <w:r>
              <w:t>12-4</w:t>
            </w:r>
          </w:p>
        </w:tc>
        <w:tc>
          <w:tcPr>
            <w:tcW w:w="2610" w:type="dxa"/>
          </w:tcPr>
          <w:p w14:paraId="560B29D7" w14:textId="77777777" w:rsidR="00EA3C20" w:rsidRDefault="00EA3C20" w:rsidP="00EA3C20"/>
        </w:tc>
      </w:tr>
      <w:tr w:rsidR="00A75479" w14:paraId="22AC061C" w14:textId="77777777" w:rsidTr="0019000A">
        <w:tc>
          <w:tcPr>
            <w:tcW w:w="6588" w:type="dxa"/>
          </w:tcPr>
          <w:p w14:paraId="1DB391B2" w14:textId="77777777" w:rsidR="00EA3C20" w:rsidRDefault="00EA3C20" w:rsidP="00EA3C20">
            <w:r>
              <w:t>Mechanisms exist to facilitate the creation of arrangements for support in exercising legal capacity that respect the autonomy, will and preferences of the person concerned.</w:t>
            </w:r>
          </w:p>
          <w:p w14:paraId="121805CF" w14:textId="0CE912B0" w:rsidR="00D8584E" w:rsidRDefault="00D8584E" w:rsidP="00EA3C20">
            <w:r>
              <w:t>12-5</w:t>
            </w:r>
          </w:p>
        </w:tc>
        <w:tc>
          <w:tcPr>
            <w:tcW w:w="2610" w:type="dxa"/>
          </w:tcPr>
          <w:p w14:paraId="3EA3882D" w14:textId="77777777" w:rsidR="00EA3C20" w:rsidRDefault="00EA3C20" w:rsidP="00EA3C20"/>
        </w:tc>
      </w:tr>
      <w:tr w:rsidR="00A75479" w14:paraId="4FCB7C8E" w14:textId="77777777" w:rsidTr="0019000A">
        <w:tc>
          <w:tcPr>
            <w:tcW w:w="6588" w:type="dxa"/>
          </w:tcPr>
          <w:p w14:paraId="647EA62E" w14:textId="47CE40EE" w:rsidR="00EA3C20" w:rsidRDefault="00EA3C20" w:rsidP="00EA3C20">
            <w:pPr>
              <w:pStyle w:val="ListParagraph"/>
              <w:numPr>
                <w:ilvl w:val="0"/>
                <w:numId w:val="10"/>
              </w:numPr>
            </w:pPr>
            <w:r>
              <w:t xml:space="preserve">Everyone who desires support in exercising legal capacity is entitled to have </w:t>
            </w:r>
            <w:r w:rsidR="00D70BEF">
              <w:t>necessary</w:t>
            </w:r>
            <w:r>
              <w:t xml:space="preserve"> arrangement</w:t>
            </w:r>
            <w:r w:rsidR="00223F92">
              <w:t>s</w:t>
            </w:r>
            <w:r>
              <w:t xml:space="preserve"> facilitated at no cost.</w:t>
            </w:r>
          </w:p>
          <w:p w14:paraId="3C7318E5" w14:textId="69BA0E0C" w:rsidR="00D8584E" w:rsidRDefault="00D8584E" w:rsidP="00D8584E">
            <w:pPr>
              <w:pStyle w:val="ListParagraph"/>
            </w:pPr>
            <w:r>
              <w:t>12-5-1</w:t>
            </w:r>
          </w:p>
        </w:tc>
        <w:tc>
          <w:tcPr>
            <w:tcW w:w="2610" w:type="dxa"/>
          </w:tcPr>
          <w:p w14:paraId="268ECFED" w14:textId="77777777" w:rsidR="00EA3C20" w:rsidRDefault="00EA3C20" w:rsidP="00EA3C20"/>
        </w:tc>
      </w:tr>
      <w:tr w:rsidR="00A75479" w14:paraId="231D5923" w14:textId="77777777" w:rsidTr="0019000A">
        <w:tc>
          <w:tcPr>
            <w:tcW w:w="6588" w:type="dxa"/>
          </w:tcPr>
          <w:p w14:paraId="21B9CC4F" w14:textId="77777777" w:rsidR="00EA3C20" w:rsidRDefault="00EA3C20" w:rsidP="00EA3C20">
            <w:pPr>
              <w:pStyle w:val="ListParagraph"/>
              <w:numPr>
                <w:ilvl w:val="0"/>
                <w:numId w:val="10"/>
              </w:numPr>
            </w:pPr>
            <w:r>
              <w:lastRenderedPageBreak/>
              <w:t>Outreach is conducted to offer support, at all times with respect for the person’s autonomy, will and preferences.</w:t>
            </w:r>
          </w:p>
          <w:p w14:paraId="4C763C09" w14:textId="6FDFC664" w:rsidR="00D8584E" w:rsidRDefault="00D8584E" w:rsidP="00D8584E">
            <w:pPr>
              <w:pStyle w:val="ListParagraph"/>
            </w:pPr>
            <w:r>
              <w:t>12-5-2</w:t>
            </w:r>
          </w:p>
        </w:tc>
        <w:tc>
          <w:tcPr>
            <w:tcW w:w="2610" w:type="dxa"/>
          </w:tcPr>
          <w:p w14:paraId="6EEA070C" w14:textId="77777777" w:rsidR="00EA3C20" w:rsidRDefault="00EA3C20" w:rsidP="00EA3C20"/>
        </w:tc>
      </w:tr>
      <w:tr w:rsidR="00A75479" w14:paraId="231B05AC" w14:textId="77777777" w:rsidTr="0019000A">
        <w:tc>
          <w:tcPr>
            <w:tcW w:w="6588" w:type="dxa"/>
          </w:tcPr>
          <w:p w14:paraId="76CAE668" w14:textId="77777777" w:rsidR="00EA3C20" w:rsidRDefault="00EA3C20" w:rsidP="00EA3C20">
            <w:pPr>
              <w:pStyle w:val="ListParagraph"/>
              <w:numPr>
                <w:ilvl w:val="0"/>
                <w:numId w:val="10"/>
              </w:numPr>
            </w:pPr>
            <w:r>
              <w:t>Support arrangements can only be created, maintained and ended based on the will of the person concerned.</w:t>
            </w:r>
          </w:p>
          <w:p w14:paraId="37F15E45" w14:textId="60F61C30" w:rsidR="00D8584E" w:rsidRDefault="00D8584E" w:rsidP="00D8584E">
            <w:pPr>
              <w:pStyle w:val="ListParagraph"/>
            </w:pPr>
            <w:r>
              <w:t>12-5-3</w:t>
            </w:r>
          </w:p>
        </w:tc>
        <w:tc>
          <w:tcPr>
            <w:tcW w:w="2610" w:type="dxa"/>
          </w:tcPr>
          <w:p w14:paraId="41BA4CA4" w14:textId="77777777" w:rsidR="00EA3C20" w:rsidRDefault="00EA3C20" w:rsidP="00EA3C20"/>
        </w:tc>
      </w:tr>
      <w:tr w:rsidR="00A75479" w14:paraId="4759588D" w14:textId="77777777" w:rsidTr="0019000A">
        <w:tc>
          <w:tcPr>
            <w:tcW w:w="6588" w:type="dxa"/>
          </w:tcPr>
          <w:p w14:paraId="5CA459BE" w14:textId="77777777" w:rsidR="00EA3C20" w:rsidRDefault="00EA3C20" w:rsidP="00EA3C20">
            <w:pPr>
              <w:pStyle w:val="ListParagraph"/>
              <w:numPr>
                <w:ilvl w:val="0"/>
                <w:numId w:val="10"/>
              </w:numPr>
            </w:pPr>
            <w:r>
              <w:t>Accommodations and support are defined by the person and acceptable to the person.</w:t>
            </w:r>
          </w:p>
          <w:p w14:paraId="5EB56602" w14:textId="2813B4FA" w:rsidR="00D8584E" w:rsidRDefault="00D8584E" w:rsidP="00D8584E">
            <w:pPr>
              <w:pStyle w:val="ListParagraph"/>
            </w:pPr>
            <w:r>
              <w:t>12-5-4</w:t>
            </w:r>
          </w:p>
        </w:tc>
        <w:tc>
          <w:tcPr>
            <w:tcW w:w="2610" w:type="dxa"/>
          </w:tcPr>
          <w:p w14:paraId="7017425A" w14:textId="77777777" w:rsidR="00EA3C20" w:rsidRDefault="00EA3C20" w:rsidP="00EA3C20"/>
        </w:tc>
      </w:tr>
      <w:tr w:rsidR="00A75479" w14:paraId="0C342FC2" w14:textId="77777777" w:rsidTr="0019000A">
        <w:tc>
          <w:tcPr>
            <w:tcW w:w="6588" w:type="dxa"/>
          </w:tcPr>
          <w:p w14:paraId="1712A454" w14:textId="77777777" w:rsidR="00EA3C20" w:rsidRDefault="00EA3C20" w:rsidP="00EA3C20">
            <w:r>
              <w:t>Safeguards are designed as follows:</w:t>
            </w:r>
          </w:p>
          <w:p w14:paraId="49A6FBC1" w14:textId="4136E542" w:rsidR="00D8584E" w:rsidRDefault="00D8584E" w:rsidP="00EA3C20">
            <w:r>
              <w:t>12-6</w:t>
            </w:r>
          </w:p>
        </w:tc>
        <w:tc>
          <w:tcPr>
            <w:tcW w:w="2610" w:type="dxa"/>
          </w:tcPr>
          <w:p w14:paraId="2614EF7C" w14:textId="77777777" w:rsidR="00EA3C20" w:rsidRDefault="00EA3C20" w:rsidP="00EA3C20"/>
        </w:tc>
      </w:tr>
      <w:tr w:rsidR="00A75479" w14:paraId="3AA10BF7" w14:textId="77777777" w:rsidTr="0019000A">
        <w:tc>
          <w:tcPr>
            <w:tcW w:w="6588" w:type="dxa"/>
          </w:tcPr>
          <w:p w14:paraId="7205FE66" w14:textId="77777777" w:rsidR="00EA3C20" w:rsidRDefault="00EA3C20" w:rsidP="00EA3C20">
            <w:pPr>
              <w:pStyle w:val="ListParagraph"/>
              <w:numPr>
                <w:ilvl w:val="0"/>
                <w:numId w:val="11"/>
              </w:numPr>
            </w:pPr>
            <w:r>
              <w:t>to educate rights-holders and duty-bearers about decision-making rights, including duty to respect the person’s autonomy, will and preferences.</w:t>
            </w:r>
          </w:p>
          <w:p w14:paraId="4918D26F" w14:textId="6AFD7EB2" w:rsidR="00D8584E" w:rsidRDefault="00D8584E" w:rsidP="00D8584E">
            <w:pPr>
              <w:pStyle w:val="ListParagraph"/>
            </w:pPr>
            <w:r>
              <w:t>12-6-1</w:t>
            </w:r>
          </w:p>
        </w:tc>
        <w:tc>
          <w:tcPr>
            <w:tcW w:w="2610" w:type="dxa"/>
          </w:tcPr>
          <w:p w14:paraId="584DC590" w14:textId="77777777" w:rsidR="00EA3C20" w:rsidRDefault="00EA3C20" w:rsidP="00EA3C20"/>
        </w:tc>
      </w:tr>
      <w:tr w:rsidR="00A75479" w14:paraId="17C7420A" w14:textId="77777777" w:rsidTr="0019000A">
        <w:tc>
          <w:tcPr>
            <w:tcW w:w="6588" w:type="dxa"/>
          </w:tcPr>
          <w:p w14:paraId="19F26562" w14:textId="2AF21A56" w:rsidR="00EA3C20" w:rsidRDefault="00EA3C20" w:rsidP="00EA3C20">
            <w:pPr>
              <w:pStyle w:val="ListParagraph"/>
              <w:numPr>
                <w:ilvl w:val="0"/>
                <w:numId w:val="11"/>
              </w:numPr>
            </w:pPr>
            <w:r>
              <w:t xml:space="preserve">to provide advocacy support and redress </w:t>
            </w:r>
            <w:r w:rsidR="00D70BEF">
              <w:t>against the failure of any duty-</w:t>
            </w:r>
            <w:r>
              <w:t>bearer to respect an individual’s decision-making, and/or against the denial, abuse or malfunctioning of any processes or mechanisms related to the exercise of legal capacity, including support arrangements, facilitation mechanisms, outreach, and accommodations.</w:t>
            </w:r>
          </w:p>
          <w:p w14:paraId="4F54D6B9" w14:textId="032817AE" w:rsidR="00D8584E" w:rsidRDefault="00D8584E" w:rsidP="00D8584E">
            <w:pPr>
              <w:pStyle w:val="ListParagraph"/>
            </w:pPr>
            <w:r>
              <w:t>12-6-2</w:t>
            </w:r>
          </w:p>
        </w:tc>
        <w:tc>
          <w:tcPr>
            <w:tcW w:w="2610" w:type="dxa"/>
          </w:tcPr>
          <w:p w14:paraId="04BE68CD" w14:textId="77777777" w:rsidR="00EA3C20" w:rsidRDefault="00EA3C20" w:rsidP="00EA3C20"/>
        </w:tc>
      </w:tr>
      <w:tr w:rsidR="00A75479" w14:paraId="0EFAFD78" w14:textId="77777777" w:rsidTr="0019000A">
        <w:tc>
          <w:tcPr>
            <w:tcW w:w="6588" w:type="dxa"/>
          </w:tcPr>
          <w:p w14:paraId="34210EBB" w14:textId="77777777" w:rsidR="00EA3C20" w:rsidRDefault="00EA3C20" w:rsidP="00EA3C20">
            <w:r>
              <w:t>First responders, health care providers, and other relevant actors must respect the decision-making of adults at all times, including in crisis situations and emergencies.</w:t>
            </w:r>
          </w:p>
          <w:p w14:paraId="523D2AA3" w14:textId="733EEF54" w:rsidR="00D8584E" w:rsidRDefault="00D8584E" w:rsidP="00EA3C20">
            <w:r>
              <w:t>12-7</w:t>
            </w:r>
          </w:p>
        </w:tc>
        <w:tc>
          <w:tcPr>
            <w:tcW w:w="2610" w:type="dxa"/>
          </w:tcPr>
          <w:p w14:paraId="0F99811D" w14:textId="77777777" w:rsidR="00EA3C20" w:rsidRDefault="00EA3C20" w:rsidP="00EA3C20"/>
        </w:tc>
      </w:tr>
      <w:tr w:rsidR="00A75479" w14:paraId="5CF8A803" w14:textId="77777777" w:rsidTr="0019000A">
        <w:tc>
          <w:tcPr>
            <w:tcW w:w="6588" w:type="dxa"/>
          </w:tcPr>
          <w:p w14:paraId="507060BA" w14:textId="77777777" w:rsidR="00EA3C20" w:rsidRDefault="00EA3C20" w:rsidP="00EA3C20">
            <w:r>
              <w:t>When, after significant effort, it is not feasible to determine the person’s will and preferences, a best interpretation of will and preferences will be made.</w:t>
            </w:r>
          </w:p>
          <w:p w14:paraId="4DDAA675" w14:textId="023B991D" w:rsidR="00D8584E" w:rsidRDefault="00D8584E" w:rsidP="00EA3C20">
            <w:r>
              <w:t>12-8</w:t>
            </w:r>
          </w:p>
        </w:tc>
        <w:tc>
          <w:tcPr>
            <w:tcW w:w="2610" w:type="dxa"/>
          </w:tcPr>
          <w:p w14:paraId="5830A361" w14:textId="77777777" w:rsidR="00EA3C20" w:rsidRDefault="00EA3C20" w:rsidP="00EA3C20"/>
        </w:tc>
      </w:tr>
      <w:tr w:rsidR="00A75479" w14:paraId="335623B5" w14:textId="77777777" w:rsidTr="0019000A">
        <w:tc>
          <w:tcPr>
            <w:tcW w:w="6588" w:type="dxa"/>
          </w:tcPr>
          <w:p w14:paraId="436DA355" w14:textId="6C4CB6A6" w:rsidR="00EA3C20" w:rsidRDefault="00EA3C20" w:rsidP="00EA3C20">
            <w:pPr>
              <w:pStyle w:val="ListParagraph"/>
              <w:numPr>
                <w:ilvl w:val="0"/>
                <w:numId w:val="13"/>
              </w:numPr>
            </w:pPr>
            <w:r>
              <w:t xml:space="preserve">Determination of will and preferences </w:t>
            </w:r>
            <w:r w:rsidR="00DA05FD">
              <w:t>respects</w:t>
            </w:r>
            <w:r>
              <w:t xml:space="preserve"> all forms of intentional communication.</w:t>
            </w:r>
          </w:p>
          <w:p w14:paraId="4A526AE2" w14:textId="601FDDC1" w:rsidR="00D8584E" w:rsidRDefault="00D8584E" w:rsidP="00D8584E">
            <w:pPr>
              <w:pStyle w:val="ListParagraph"/>
            </w:pPr>
            <w:r>
              <w:t>12-8-1</w:t>
            </w:r>
          </w:p>
        </w:tc>
        <w:tc>
          <w:tcPr>
            <w:tcW w:w="2610" w:type="dxa"/>
          </w:tcPr>
          <w:p w14:paraId="56DB3A3D" w14:textId="77777777" w:rsidR="00EA3C20" w:rsidRDefault="00EA3C20" w:rsidP="00EA3C20"/>
        </w:tc>
      </w:tr>
      <w:tr w:rsidR="00A75479" w14:paraId="26C1F0EE" w14:textId="77777777" w:rsidTr="0019000A">
        <w:tc>
          <w:tcPr>
            <w:tcW w:w="6588" w:type="dxa"/>
          </w:tcPr>
          <w:p w14:paraId="418B18D8" w14:textId="16941113" w:rsidR="00EA3C20" w:rsidRDefault="00EA3C20" w:rsidP="00EA3C20">
            <w:pPr>
              <w:pStyle w:val="ListParagraph"/>
              <w:numPr>
                <w:ilvl w:val="0"/>
                <w:numId w:val="12"/>
              </w:numPr>
            </w:pPr>
            <w:r>
              <w:t xml:space="preserve">Significant effort includes </w:t>
            </w:r>
            <w:r w:rsidR="00D70BEF">
              <w:t>making available all potential</w:t>
            </w:r>
            <w:r>
              <w:t xml:space="preserve"> accommodations and support.</w:t>
            </w:r>
          </w:p>
          <w:p w14:paraId="0AA49FAA" w14:textId="1044E73F" w:rsidR="00D8584E" w:rsidRDefault="00D8584E" w:rsidP="00D8584E">
            <w:pPr>
              <w:pStyle w:val="ListParagraph"/>
            </w:pPr>
            <w:r>
              <w:t>12-8-2</w:t>
            </w:r>
          </w:p>
        </w:tc>
        <w:tc>
          <w:tcPr>
            <w:tcW w:w="2610" w:type="dxa"/>
          </w:tcPr>
          <w:p w14:paraId="688DE61E" w14:textId="77777777" w:rsidR="00EA3C20" w:rsidRDefault="00EA3C20" w:rsidP="00EA3C20"/>
        </w:tc>
      </w:tr>
      <w:tr w:rsidR="00A75479" w14:paraId="5E8C00F1" w14:textId="77777777" w:rsidTr="0019000A">
        <w:tc>
          <w:tcPr>
            <w:tcW w:w="6588" w:type="dxa"/>
          </w:tcPr>
          <w:p w14:paraId="3E680805" w14:textId="77777777" w:rsidR="00EA3C20" w:rsidRDefault="00EA3C20" w:rsidP="00EA3C20">
            <w:pPr>
              <w:pStyle w:val="ListParagraph"/>
              <w:numPr>
                <w:ilvl w:val="0"/>
                <w:numId w:val="12"/>
              </w:numPr>
            </w:pPr>
            <w:r>
              <w:t xml:space="preserve">Interpretation requires ongoing interaction and is never applied in opposition to intentional communication.  </w:t>
            </w:r>
          </w:p>
          <w:p w14:paraId="7944A0BE" w14:textId="38088122" w:rsidR="00D8584E" w:rsidRDefault="00D8584E" w:rsidP="00D8584E">
            <w:pPr>
              <w:pStyle w:val="ListParagraph"/>
            </w:pPr>
            <w:r>
              <w:t>12-8-3</w:t>
            </w:r>
          </w:p>
        </w:tc>
        <w:tc>
          <w:tcPr>
            <w:tcW w:w="2610" w:type="dxa"/>
          </w:tcPr>
          <w:p w14:paraId="58D78166" w14:textId="77777777" w:rsidR="00EA3C20" w:rsidRDefault="00EA3C20" w:rsidP="00EA3C20"/>
        </w:tc>
      </w:tr>
      <w:tr w:rsidR="00A75479" w14:paraId="62BF85E9" w14:textId="77777777" w:rsidTr="0019000A">
        <w:tc>
          <w:tcPr>
            <w:tcW w:w="6588" w:type="dxa"/>
          </w:tcPr>
          <w:p w14:paraId="394EBC9C" w14:textId="347BC743" w:rsidR="00EA3C20" w:rsidRDefault="00D70BEF" w:rsidP="00EA3C20">
            <w:r>
              <w:t>‘</w:t>
            </w:r>
            <w:r w:rsidR="00EA3C20">
              <w:t>Best interests</w:t>
            </w:r>
            <w:r>
              <w:t>’</w:t>
            </w:r>
            <w:r w:rsidR="00EA3C20">
              <w:t xml:space="preserve"> principle is not applied to adults, for reasons of protection, security, or otherwise.</w:t>
            </w:r>
          </w:p>
          <w:p w14:paraId="3C0D040E" w14:textId="1CA67C8C" w:rsidR="00D8584E" w:rsidRDefault="00D8584E" w:rsidP="00EA3C20">
            <w:r>
              <w:t>12-9</w:t>
            </w:r>
          </w:p>
        </w:tc>
        <w:tc>
          <w:tcPr>
            <w:tcW w:w="2610" w:type="dxa"/>
          </w:tcPr>
          <w:p w14:paraId="5A615325" w14:textId="77777777" w:rsidR="00EA3C20" w:rsidRDefault="00EA3C20" w:rsidP="00EA3C20"/>
        </w:tc>
      </w:tr>
      <w:tr w:rsidR="00A75479" w14:paraId="508497C5" w14:textId="77777777" w:rsidTr="0019000A">
        <w:tc>
          <w:tcPr>
            <w:tcW w:w="6588" w:type="dxa"/>
          </w:tcPr>
          <w:p w14:paraId="3A04D276" w14:textId="77777777" w:rsidR="00EA3C20" w:rsidRDefault="00EA3C20" w:rsidP="00EA3C20">
            <w:r>
              <w:lastRenderedPageBreak/>
              <w:t>Effective remedies are provided for failure to respect legal capacity and decision-making, and for denial of support or accommodations or inadequate access to support and accommodations.</w:t>
            </w:r>
          </w:p>
          <w:p w14:paraId="688122D2" w14:textId="660ADD45" w:rsidR="00D8584E" w:rsidRDefault="00D8584E" w:rsidP="00EA3C20">
            <w:r>
              <w:t>12-10</w:t>
            </w:r>
          </w:p>
        </w:tc>
        <w:tc>
          <w:tcPr>
            <w:tcW w:w="2610" w:type="dxa"/>
          </w:tcPr>
          <w:p w14:paraId="3D21B0B3" w14:textId="77777777" w:rsidR="00EA3C20" w:rsidRDefault="00EA3C20" w:rsidP="00EA3C20"/>
        </w:tc>
      </w:tr>
      <w:tr w:rsidR="00A75479" w14:paraId="56066E26" w14:textId="77777777" w:rsidTr="0019000A">
        <w:tc>
          <w:tcPr>
            <w:tcW w:w="6588" w:type="dxa"/>
          </w:tcPr>
          <w:p w14:paraId="49D78931" w14:textId="77777777" w:rsidR="00EA3C20" w:rsidRDefault="00EA3C20" w:rsidP="00EA3C20">
            <w:r>
              <w:t>Process:</w:t>
            </w:r>
          </w:p>
          <w:p w14:paraId="09BF4B1E" w14:textId="6CB6F091" w:rsidR="00D8584E" w:rsidRDefault="00D8584E" w:rsidP="00EA3C20">
            <w:r>
              <w:t>12-11</w:t>
            </w:r>
          </w:p>
        </w:tc>
        <w:tc>
          <w:tcPr>
            <w:tcW w:w="2610" w:type="dxa"/>
          </w:tcPr>
          <w:p w14:paraId="0AB17C9E" w14:textId="77777777" w:rsidR="00EA3C20" w:rsidRDefault="00EA3C20" w:rsidP="00EA3C20"/>
        </w:tc>
      </w:tr>
      <w:tr w:rsidR="00A75479" w14:paraId="7E0DAF6B" w14:textId="77777777" w:rsidTr="0019000A">
        <w:tc>
          <w:tcPr>
            <w:tcW w:w="6588" w:type="dxa"/>
          </w:tcPr>
          <w:p w14:paraId="4137EDBA" w14:textId="77777777" w:rsidR="00EA3C20" w:rsidRDefault="00EA3C20" w:rsidP="00EA3C20">
            <w:pPr>
              <w:pStyle w:val="ListParagraph"/>
              <w:numPr>
                <w:ilvl w:val="0"/>
                <w:numId w:val="1"/>
              </w:numPr>
            </w:pPr>
            <w:r>
              <w:t xml:space="preserve">Reforms of law, policy, and practices are enacted to abolish all forms of substitute decision-making and to implement and enforce universal adult legal capacity and access to support that respects the person’s autonomy, will and preferences.   </w:t>
            </w:r>
          </w:p>
          <w:p w14:paraId="4FBC7CD9" w14:textId="5AD1EB97" w:rsidR="00D8584E" w:rsidRDefault="00A75479" w:rsidP="00D8584E">
            <w:pPr>
              <w:pStyle w:val="ListParagraph"/>
            </w:pPr>
            <w:r>
              <w:t>12-11-1</w:t>
            </w:r>
          </w:p>
        </w:tc>
        <w:tc>
          <w:tcPr>
            <w:tcW w:w="2610" w:type="dxa"/>
          </w:tcPr>
          <w:p w14:paraId="0D0E70E5" w14:textId="77777777" w:rsidR="00EA3C20" w:rsidRDefault="00EA3C20" w:rsidP="00EA3C20"/>
        </w:tc>
      </w:tr>
      <w:tr w:rsidR="00A75479" w14:paraId="07AA6CD3" w14:textId="77777777" w:rsidTr="0019000A">
        <w:tc>
          <w:tcPr>
            <w:tcW w:w="6588" w:type="dxa"/>
          </w:tcPr>
          <w:p w14:paraId="4247DF9D" w14:textId="0B983387" w:rsidR="00EA3C20" w:rsidRDefault="00EA3C20" w:rsidP="00EA3C20">
            <w:pPr>
              <w:pStyle w:val="ListParagraph"/>
              <w:numPr>
                <w:ilvl w:val="0"/>
                <w:numId w:val="1"/>
              </w:numPr>
            </w:pPr>
            <w:r>
              <w:t>All measures are designed, implemented, and assessed in close collaboration with users and survivors of psychiatry and persons with psychosocial disabilities, and their representative organizations, who</w:t>
            </w:r>
            <w:r w:rsidR="00D70BEF">
              <w:t>/which</w:t>
            </w:r>
            <w:r>
              <w:t xml:space="preserve"> are actively involved in setting the agenda, training and briefing government personnel, and serving in an expert capacity throughout the process.</w:t>
            </w:r>
          </w:p>
          <w:p w14:paraId="6E0F9ED8" w14:textId="5A5A691E" w:rsidR="00A75479" w:rsidRDefault="00A75479" w:rsidP="00A75479">
            <w:pPr>
              <w:pStyle w:val="ListParagraph"/>
            </w:pPr>
            <w:r>
              <w:t>12-11-2</w:t>
            </w:r>
          </w:p>
        </w:tc>
        <w:tc>
          <w:tcPr>
            <w:tcW w:w="2610" w:type="dxa"/>
          </w:tcPr>
          <w:p w14:paraId="684DB1C9" w14:textId="77777777" w:rsidR="00EA3C20" w:rsidRDefault="00EA3C20" w:rsidP="00EA3C20"/>
        </w:tc>
      </w:tr>
    </w:tbl>
    <w:p w14:paraId="5CB4D56A" w14:textId="1524FFEB" w:rsidR="00EA3C20" w:rsidRDefault="00EA3C20" w:rsidP="007F7B01"/>
    <w:p w14:paraId="477A95A4" w14:textId="77777777" w:rsidR="00EA3C20" w:rsidRDefault="00EA3C20">
      <w:r>
        <w:br w:type="page"/>
      </w:r>
    </w:p>
    <w:p w14:paraId="6ADE56D6" w14:textId="550E4BA1" w:rsidR="007F7B01" w:rsidRDefault="007F7B01" w:rsidP="007F7B01">
      <w:r>
        <w:lastRenderedPageBreak/>
        <w:t xml:space="preserve">2. </w:t>
      </w:r>
      <w:r w:rsidR="004E715F">
        <w:t>Article 14</w:t>
      </w:r>
    </w:p>
    <w:tbl>
      <w:tblPr>
        <w:tblStyle w:val="TableGrid"/>
        <w:tblW w:w="9216" w:type="dxa"/>
        <w:tblLook w:val="04A0" w:firstRow="1" w:lastRow="0" w:firstColumn="1" w:lastColumn="0" w:noHBand="0" w:noVBand="1"/>
      </w:tblPr>
      <w:tblGrid>
        <w:gridCol w:w="6588"/>
        <w:gridCol w:w="2628"/>
      </w:tblGrid>
      <w:tr w:rsidR="00A75479" w14:paraId="2018770F" w14:textId="77777777" w:rsidTr="00B6180F">
        <w:tc>
          <w:tcPr>
            <w:tcW w:w="6588" w:type="dxa"/>
          </w:tcPr>
          <w:p w14:paraId="597F90FE" w14:textId="77777777" w:rsidR="007F7B01" w:rsidRDefault="007F7B01" w:rsidP="00295EC3">
            <w:r>
              <w:t>The right to liberty and security of the person is recognized in law and includes the right to be free from detention based on actual or perceived impairment</w:t>
            </w:r>
            <w:r w:rsidR="006C5BB0">
              <w:t xml:space="preserve"> (including actual or perceived mental health condition).</w:t>
            </w:r>
            <w:r w:rsidR="00295EC3">
              <w:rPr>
                <w:rStyle w:val="FootnoteReference"/>
              </w:rPr>
              <w:footnoteReference w:id="1"/>
            </w:r>
          </w:p>
          <w:p w14:paraId="6EB64C45" w14:textId="0DEA4C19" w:rsidR="00A75479" w:rsidRDefault="00A75479" w:rsidP="00295EC3">
            <w:r>
              <w:t>14-1</w:t>
            </w:r>
          </w:p>
        </w:tc>
        <w:tc>
          <w:tcPr>
            <w:tcW w:w="2628" w:type="dxa"/>
          </w:tcPr>
          <w:p w14:paraId="6298EF12" w14:textId="77777777" w:rsidR="007F7B01" w:rsidRDefault="007F7B01" w:rsidP="007F7B01"/>
        </w:tc>
      </w:tr>
      <w:tr w:rsidR="00A75479" w14:paraId="4D20143D" w14:textId="77777777" w:rsidTr="00B6180F">
        <w:tc>
          <w:tcPr>
            <w:tcW w:w="6588" w:type="dxa"/>
          </w:tcPr>
          <w:p w14:paraId="659C350B" w14:textId="7B0E2F71" w:rsidR="006C5BB0" w:rsidRDefault="007F7B01" w:rsidP="007F7B01">
            <w:r>
              <w:t>The state has conducted a comprehensive review of legislation</w:t>
            </w:r>
            <w:r w:rsidR="008B01B8">
              <w:rPr>
                <w:rStyle w:val="FootnoteReference"/>
              </w:rPr>
              <w:footnoteReference w:id="2"/>
            </w:r>
            <w:r>
              <w:t xml:space="preserve"> and can document that </w:t>
            </w:r>
            <w:r w:rsidR="006C5BB0">
              <w:t xml:space="preserve">no legal authorization exists for deprivation of liberty based on an actual or perceived impairment (including actual or perceived mental health condition). </w:t>
            </w:r>
          </w:p>
          <w:p w14:paraId="3C50E092" w14:textId="3C8A702A" w:rsidR="00F17178" w:rsidRDefault="00A75479" w:rsidP="007F7B01">
            <w:r>
              <w:t>14-2</w:t>
            </w:r>
          </w:p>
        </w:tc>
        <w:tc>
          <w:tcPr>
            <w:tcW w:w="2628" w:type="dxa"/>
          </w:tcPr>
          <w:p w14:paraId="05C40C7F" w14:textId="77777777" w:rsidR="007F7B01" w:rsidRDefault="007F7B01" w:rsidP="007F7B01"/>
        </w:tc>
      </w:tr>
      <w:tr w:rsidR="00A75479" w14:paraId="283D408B" w14:textId="77777777" w:rsidTr="00B6180F">
        <w:tc>
          <w:tcPr>
            <w:tcW w:w="6588" w:type="dxa"/>
          </w:tcPr>
          <w:p w14:paraId="729936E7" w14:textId="456D0EDD" w:rsidR="00BE1D50" w:rsidRDefault="006C5BB0" w:rsidP="00BE1D50">
            <w:pPr>
              <w:pStyle w:val="ListParagraph"/>
              <w:numPr>
                <w:ilvl w:val="0"/>
                <w:numId w:val="2"/>
              </w:numPr>
            </w:pPr>
            <w:r>
              <w:t>No</w:t>
            </w:r>
            <w:r w:rsidR="00A6307F">
              <w:t xml:space="preserve"> specific</w:t>
            </w:r>
            <w:r>
              <w:t xml:space="preserve"> legal authorization exists for involuntary admission or retention in a mental health facility or mental health unit of a hospital or </w:t>
            </w:r>
            <w:r w:rsidR="00BE1D50">
              <w:t xml:space="preserve">of a </w:t>
            </w:r>
            <w:r>
              <w:t xml:space="preserve">prison or </w:t>
            </w:r>
            <w:r w:rsidR="00BE1D50">
              <w:t xml:space="preserve">of any </w:t>
            </w:r>
            <w:r>
              <w:t>other institution,</w:t>
            </w:r>
            <w:r w:rsidR="00BE1D50">
              <w:t xml:space="preserve"> or any other disability-specific institution,</w:t>
            </w:r>
            <w:r>
              <w:t xml:space="preserve"> for </w:t>
            </w:r>
            <w:r w:rsidR="00BE1D50">
              <w:t>any duration or purpose, including long-term institutionalization, short-term ‘treatment’, observation or diagnosis.</w:t>
            </w:r>
          </w:p>
          <w:p w14:paraId="62B55986" w14:textId="7ADC33E0" w:rsidR="00A75479" w:rsidRDefault="00A75479" w:rsidP="00A75479">
            <w:pPr>
              <w:pStyle w:val="ListParagraph"/>
            </w:pPr>
            <w:r>
              <w:t>14-2-1</w:t>
            </w:r>
          </w:p>
        </w:tc>
        <w:tc>
          <w:tcPr>
            <w:tcW w:w="2628" w:type="dxa"/>
          </w:tcPr>
          <w:p w14:paraId="62386310" w14:textId="77777777" w:rsidR="007F7B01" w:rsidRDefault="007F7B01" w:rsidP="007F7B01"/>
        </w:tc>
      </w:tr>
      <w:tr w:rsidR="00A75479" w14:paraId="05101FA2" w14:textId="77777777" w:rsidTr="00B6180F">
        <w:tc>
          <w:tcPr>
            <w:tcW w:w="6588" w:type="dxa"/>
          </w:tcPr>
          <w:p w14:paraId="6CBF113B" w14:textId="0D94203C" w:rsidR="007F7B01" w:rsidRDefault="00BE1D50" w:rsidP="00DD5883">
            <w:pPr>
              <w:pStyle w:val="ListParagraph"/>
              <w:numPr>
                <w:ilvl w:val="0"/>
                <w:numId w:val="2"/>
              </w:numPr>
            </w:pPr>
            <w:r>
              <w:t xml:space="preserve">Health legislation contains no authorization for involuntary treatment or </w:t>
            </w:r>
            <w:r w:rsidR="00DD5883">
              <w:t>hospitalization either generally or with respect to mental health settings</w:t>
            </w:r>
            <w:r w:rsidR="00F03156">
              <w:t>, including in emergency situations</w:t>
            </w:r>
            <w:r w:rsidR="00DD5883">
              <w:t>.</w:t>
            </w:r>
            <w:r>
              <w:t xml:space="preserve"> </w:t>
            </w:r>
          </w:p>
          <w:p w14:paraId="50E1E545" w14:textId="7905042F" w:rsidR="00A75479" w:rsidRDefault="00A75479" w:rsidP="00A75479">
            <w:pPr>
              <w:pStyle w:val="ListParagraph"/>
            </w:pPr>
            <w:r>
              <w:t>14-2-2</w:t>
            </w:r>
          </w:p>
        </w:tc>
        <w:tc>
          <w:tcPr>
            <w:tcW w:w="2628" w:type="dxa"/>
          </w:tcPr>
          <w:p w14:paraId="05255A91" w14:textId="77777777" w:rsidR="007F7B01" w:rsidRDefault="007F7B01" w:rsidP="007F7B01"/>
        </w:tc>
      </w:tr>
      <w:tr w:rsidR="0075281C" w14:paraId="3A45E6F0" w14:textId="77777777" w:rsidTr="00B6180F">
        <w:tc>
          <w:tcPr>
            <w:tcW w:w="6588" w:type="dxa"/>
          </w:tcPr>
          <w:p w14:paraId="020ADD3E" w14:textId="305C03B0" w:rsidR="0075281C" w:rsidRDefault="0075281C" w:rsidP="0075281C">
            <w:pPr>
              <w:pStyle w:val="ListParagraph"/>
              <w:numPr>
                <w:ilvl w:val="0"/>
                <w:numId w:val="2"/>
              </w:numPr>
            </w:pPr>
            <w:r w:rsidRPr="002641A6">
              <w:t xml:space="preserve">Legislation contains no authorization for a determination of incapacity to make decisions about treatment, hospitalization or institutionalization.  </w:t>
            </w:r>
          </w:p>
          <w:p w14:paraId="092BB512" w14:textId="75D6469F" w:rsidR="0075281C" w:rsidRDefault="0075281C" w:rsidP="0075281C">
            <w:pPr>
              <w:pStyle w:val="ListParagraph"/>
            </w:pPr>
            <w:r>
              <w:t>14-2-3</w:t>
            </w:r>
          </w:p>
        </w:tc>
        <w:tc>
          <w:tcPr>
            <w:tcW w:w="2628" w:type="dxa"/>
          </w:tcPr>
          <w:p w14:paraId="6CCE1D46" w14:textId="4310A272" w:rsidR="0075281C" w:rsidRDefault="0075281C" w:rsidP="007F7B01"/>
        </w:tc>
      </w:tr>
      <w:tr w:rsidR="0075281C" w14:paraId="414A6238" w14:textId="77777777" w:rsidTr="00B6180F">
        <w:tc>
          <w:tcPr>
            <w:tcW w:w="6588" w:type="dxa"/>
          </w:tcPr>
          <w:p w14:paraId="7323BBC7" w14:textId="6CF1E676" w:rsidR="0075281C" w:rsidRDefault="0075281C" w:rsidP="0075281C">
            <w:pPr>
              <w:pStyle w:val="ListParagraph"/>
              <w:numPr>
                <w:ilvl w:val="0"/>
                <w:numId w:val="2"/>
              </w:numPr>
            </w:pPr>
            <w:r w:rsidRPr="007F6610">
              <w:t>Legislation contains no authorization for a third party to provide substitute consent for treatment, hospitalization or i</w:t>
            </w:r>
            <w:r w:rsidR="006A132B">
              <w:t>nstitutionalization of an adult</w:t>
            </w:r>
            <w:r w:rsidRPr="007F6610">
              <w:t xml:space="preserve">.  </w:t>
            </w:r>
          </w:p>
          <w:p w14:paraId="0332F865" w14:textId="3CE7C89D" w:rsidR="0075281C" w:rsidRPr="002641A6" w:rsidRDefault="0075281C" w:rsidP="0075281C">
            <w:pPr>
              <w:pStyle w:val="ListParagraph"/>
            </w:pPr>
            <w:r>
              <w:t>14-2-4</w:t>
            </w:r>
          </w:p>
        </w:tc>
        <w:tc>
          <w:tcPr>
            <w:tcW w:w="2628" w:type="dxa"/>
          </w:tcPr>
          <w:p w14:paraId="556FE8FF" w14:textId="3574371D" w:rsidR="0075281C" w:rsidRDefault="0075281C" w:rsidP="0075281C"/>
        </w:tc>
      </w:tr>
      <w:tr w:rsidR="00A75479" w14:paraId="45AB22F1" w14:textId="77777777" w:rsidTr="00B6180F">
        <w:tc>
          <w:tcPr>
            <w:tcW w:w="6588" w:type="dxa"/>
          </w:tcPr>
          <w:p w14:paraId="4DE5D2DA" w14:textId="42ED6062" w:rsidR="00A6307F" w:rsidRDefault="00DD5883" w:rsidP="00F03156">
            <w:r>
              <w:t>Health legislation requires free and informed consent by the person conc</w:t>
            </w:r>
            <w:r w:rsidR="002C555C">
              <w:t xml:space="preserve">erned at all times including in emergency </w:t>
            </w:r>
            <w:r w:rsidR="002C555C">
              <w:lastRenderedPageBreak/>
              <w:t>situations</w:t>
            </w:r>
            <w:r w:rsidR="003D09D0">
              <w:t xml:space="preserve">, for diagnosis, observation, treatment, </w:t>
            </w:r>
            <w:r w:rsidR="00F505CA">
              <w:t xml:space="preserve">research, </w:t>
            </w:r>
            <w:r w:rsidR="003D09D0">
              <w:t>or admission to a hospital or other facility.</w:t>
            </w:r>
          </w:p>
          <w:p w14:paraId="569A2ABE" w14:textId="47287EE8" w:rsidR="00A75479" w:rsidRDefault="00F03156" w:rsidP="00F03156">
            <w:r>
              <w:t>14-3</w:t>
            </w:r>
          </w:p>
        </w:tc>
        <w:tc>
          <w:tcPr>
            <w:tcW w:w="2628" w:type="dxa"/>
          </w:tcPr>
          <w:p w14:paraId="7366B142" w14:textId="77777777" w:rsidR="00BE1D50" w:rsidRDefault="00BE1D50" w:rsidP="007F7B01"/>
        </w:tc>
      </w:tr>
      <w:tr w:rsidR="00A6307F" w14:paraId="66A2E9CF" w14:textId="77777777" w:rsidTr="00B6180F">
        <w:tc>
          <w:tcPr>
            <w:tcW w:w="6588" w:type="dxa"/>
          </w:tcPr>
          <w:p w14:paraId="1835E5A8" w14:textId="24A3CBD0" w:rsidR="00A6307F" w:rsidRDefault="008A430F" w:rsidP="00A6307F">
            <w:pPr>
              <w:pStyle w:val="ListParagraph"/>
              <w:numPr>
                <w:ilvl w:val="0"/>
                <w:numId w:val="2"/>
              </w:numPr>
            </w:pPr>
            <w:r>
              <w:t>Advance plans and ‘b</w:t>
            </w:r>
            <w:r w:rsidR="00F03156">
              <w:t xml:space="preserve">est interpretation’ (see Article 12 indicators) </w:t>
            </w:r>
            <w:r>
              <w:t>are applied.</w:t>
            </w:r>
          </w:p>
          <w:p w14:paraId="52428E97" w14:textId="4002C8B3" w:rsidR="00F03156" w:rsidRDefault="00F03156" w:rsidP="00F03156">
            <w:pPr>
              <w:pStyle w:val="ListParagraph"/>
            </w:pPr>
            <w:r>
              <w:t>14-3-1</w:t>
            </w:r>
          </w:p>
        </w:tc>
        <w:tc>
          <w:tcPr>
            <w:tcW w:w="2628" w:type="dxa"/>
          </w:tcPr>
          <w:p w14:paraId="5E651351" w14:textId="77777777" w:rsidR="00A6307F" w:rsidRDefault="00A6307F" w:rsidP="007F7B01"/>
        </w:tc>
      </w:tr>
      <w:tr w:rsidR="00F03156" w14:paraId="774B7871" w14:textId="77777777" w:rsidTr="00B6180F">
        <w:tc>
          <w:tcPr>
            <w:tcW w:w="6588" w:type="dxa"/>
          </w:tcPr>
          <w:p w14:paraId="45DA4967" w14:textId="230CB722" w:rsidR="00F03156" w:rsidRDefault="00F03156" w:rsidP="00F03156">
            <w:pPr>
              <w:pStyle w:val="ListParagraph"/>
              <w:numPr>
                <w:ilvl w:val="0"/>
                <w:numId w:val="2"/>
              </w:numPr>
            </w:pPr>
            <w:r>
              <w:t xml:space="preserve">Mental health conditions </w:t>
            </w:r>
            <w:r w:rsidR="00D70BEF">
              <w:t xml:space="preserve">are </w:t>
            </w:r>
            <w:r>
              <w:t>addressed as psychosocial crisis</w:t>
            </w:r>
            <w:r w:rsidR="006A132B">
              <w:t xml:space="preserve"> (see 14-4 below),</w:t>
            </w:r>
            <w:r>
              <w:t xml:space="preserve"> and </w:t>
            </w:r>
            <w:r w:rsidR="00D70BEF">
              <w:t>not as medical emergency</w:t>
            </w:r>
            <w:r>
              <w:t xml:space="preserve">. </w:t>
            </w:r>
          </w:p>
          <w:p w14:paraId="67FB93CB" w14:textId="623ECE1B" w:rsidR="00F03156" w:rsidRDefault="00F03156" w:rsidP="00F03156">
            <w:pPr>
              <w:pStyle w:val="ListParagraph"/>
            </w:pPr>
            <w:r>
              <w:t>14-3-2</w:t>
            </w:r>
          </w:p>
        </w:tc>
        <w:tc>
          <w:tcPr>
            <w:tcW w:w="2628" w:type="dxa"/>
          </w:tcPr>
          <w:p w14:paraId="3961C83C" w14:textId="77777777" w:rsidR="00F03156" w:rsidRDefault="00F03156" w:rsidP="007F7B01"/>
        </w:tc>
      </w:tr>
      <w:tr w:rsidR="003D09D0" w14:paraId="339D9C15" w14:textId="77777777" w:rsidTr="00B6180F">
        <w:tc>
          <w:tcPr>
            <w:tcW w:w="6588" w:type="dxa"/>
          </w:tcPr>
          <w:p w14:paraId="7056B2E0" w14:textId="368B87F1" w:rsidR="003D09D0" w:rsidRDefault="005F42C2" w:rsidP="003D09D0">
            <w:pPr>
              <w:pStyle w:val="ListParagraph"/>
              <w:numPr>
                <w:ilvl w:val="0"/>
                <w:numId w:val="2"/>
              </w:numPr>
            </w:pPr>
            <w:r>
              <w:t xml:space="preserve">The right to refuse is recognized, and no </w:t>
            </w:r>
            <w:r w:rsidR="003D09D0">
              <w:t>threats, coercion, intimidation, incentives, disincentives, undue influence, or deception may be applied to obtain consent or to preve</w:t>
            </w:r>
            <w:r>
              <w:t>nt anyone from leaving a facility.</w:t>
            </w:r>
          </w:p>
          <w:p w14:paraId="40F5D583" w14:textId="66AA04EA" w:rsidR="003D09D0" w:rsidRDefault="003D09D0" w:rsidP="005F42C2">
            <w:pPr>
              <w:pStyle w:val="ListParagraph"/>
            </w:pPr>
            <w:r>
              <w:t>14-</w:t>
            </w:r>
            <w:r w:rsidR="005F42C2">
              <w:t>3-3</w:t>
            </w:r>
          </w:p>
        </w:tc>
        <w:tc>
          <w:tcPr>
            <w:tcW w:w="2628" w:type="dxa"/>
          </w:tcPr>
          <w:p w14:paraId="320CE443" w14:textId="77777777" w:rsidR="003D09D0" w:rsidRDefault="003D09D0" w:rsidP="007F7B01"/>
        </w:tc>
      </w:tr>
      <w:tr w:rsidR="005F42C2" w14:paraId="061FF413" w14:textId="77777777" w:rsidTr="00B6180F">
        <w:tc>
          <w:tcPr>
            <w:tcW w:w="6588" w:type="dxa"/>
          </w:tcPr>
          <w:p w14:paraId="0B324C31" w14:textId="77777777" w:rsidR="005F42C2" w:rsidRDefault="005F42C2" w:rsidP="005F42C2">
            <w:pPr>
              <w:pStyle w:val="ListParagraph"/>
              <w:numPr>
                <w:ilvl w:val="0"/>
                <w:numId w:val="2"/>
              </w:numPr>
            </w:pPr>
            <w:r>
              <w:t>Devices and assistance are provided when needed by an individual to leave a facility or to come and go freely.</w:t>
            </w:r>
          </w:p>
          <w:p w14:paraId="75CBD086" w14:textId="3470A8C2" w:rsidR="005F42C2" w:rsidRDefault="005F42C2" w:rsidP="005F42C2">
            <w:pPr>
              <w:pStyle w:val="ListParagraph"/>
            </w:pPr>
            <w:r>
              <w:t>14-3-4</w:t>
            </w:r>
          </w:p>
        </w:tc>
        <w:tc>
          <w:tcPr>
            <w:tcW w:w="2628" w:type="dxa"/>
          </w:tcPr>
          <w:p w14:paraId="270BAE06" w14:textId="77777777" w:rsidR="005F42C2" w:rsidRDefault="005F42C2" w:rsidP="007F7B01"/>
        </w:tc>
      </w:tr>
      <w:tr w:rsidR="00F505CA" w14:paraId="10333BDA" w14:textId="77777777" w:rsidTr="00B6180F">
        <w:tc>
          <w:tcPr>
            <w:tcW w:w="6588" w:type="dxa"/>
          </w:tcPr>
          <w:p w14:paraId="66CD40D0" w14:textId="5E33C3EF" w:rsidR="00F505CA" w:rsidRDefault="00D70BEF" w:rsidP="00A46E07">
            <w:pPr>
              <w:pStyle w:val="ListParagraph"/>
              <w:numPr>
                <w:ilvl w:val="0"/>
                <w:numId w:val="2"/>
              </w:numPr>
            </w:pPr>
            <w:r>
              <w:t>The</w:t>
            </w:r>
            <w:r w:rsidR="00F505CA">
              <w:t xml:space="preserve"> administration of </w:t>
            </w:r>
            <w:r w:rsidR="00B6180F">
              <w:t>psychiatric medications</w:t>
            </w:r>
            <w:r w:rsidR="00F505CA">
              <w:t xml:space="preserve"> or electroshock or psychosurgery </w:t>
            </w:r>
            <w:r w:rsidR="00A46E07">
              <w:t xml:space="preserve">for any reason </w:t>
            </w:r>
            <w:r w:rsidR="00F505CA">
              <w:t>without affirmative free and informed consent</w:t>
            </w:r>
            <w:r w:rsidR="008A430F">
              <w:t xml:space="preserve"> is prohibited</w:t>
            </w:r>
            <w:r w:rsidR="00B6180F">
              <w:t xml:space="preserve">, </w:t>
            </w:r>
            <w:r w:rsidR="00F60B40">
              <w:t>and the use of mechanical restraints or solitary confinement in health settings</w:t>
            </w:r>
            <w:r w:rsidR="008A430F">
              <w:t xml:space="preserve"> is </w:t>
            </w:r>
            <w:r>
              <w:t>prohibited</w:t>
            </w:r>
            <w:r w:rsidR="00FD0409">
              <w:t xml:space="preserve">. </w:t>
            </w:r>
          </w:p>
          <w:p w14:paraId="00B81095" w14:textId="11B0AEC7" w:rsidR="00FD0409" w:rsidRDefault="00135BEA" w:rsidP="00FD0409">
            <w:pPr>
              <w:pStyle w:val="ListParagraph"/>
            </w:pPr>
            <w:r>
              <w:t>14-3-5</w:t>
            </w:r>
          </w:p>
        </w:tc>
        <w:tc>
          <w:tcPr>
            <w:tcW w:w="2628" w:type="dxa"/>
          </w:tcPr>
          <w:p w14:paraId="3060E4B8" w14:textId="77777777" w:rsidR="00F505CA" w:rsidRDefault="00F505CA" w:rsidP="007F7B01"/>
        </w:tc>
      </w:tr>
      <w:tr w:rsidR="00A75479" w14:paraId="1D7E04DE" w14:textId="77777777" w:rsidTr="00B6180F">
        <w:tc>
          <w:tcPr>
            <w:tcW w:w="6588" w:type="dxa"/>
          </w:tcPr>
          <w:p w14:paraId="6FBE1353" w14:textId="775E60AA" w:rsidR="000205D2" w:rsidRDefault="000205D2" w:rsidP="00F03156">
            <w:r>
              <w:t xml:space="preserve">Legislation </w:t>
            </w:r>
            <w:r w:rsidR="002C555C">
              <w:t xml:space="preserve">provides for non-medical, trained personnel </w:t>
            </w:r>
            <w:r>
              <w:t>to</w:t>
            </w:r>
            <w:r w:rsidR="002C555C">
              <w:t xml:space="preserve"> respond to</w:t>
            </w:r>
            <w:r>
              <w:t xml:space="preserve"> </w:t>
            </w:r>
            <w:r w:rsidR="0075281C">
              <w:t xml:space="preserve">situations of </w:t>
            </w:r>
            <w:r w:rsidR="00BB5FF1">
              <w:t>psychosocial distress or crisis and arrange for support services and/or conflict resolution services if needed based on the free and informed consent of the person(s) concerned.</w:t>
            </w:r>
          </w:p>
          <w:p w14:paraId="51685C07" w14:textId="5707AE91" w:rsidR="00A75479" w:rsidRDefault="00A75479" w:rsidP="00944D0D">
            <w:r>
              <w:t>14-</w:t>
            </w:r>
            <w:r w:rsidR="00944D0D">
              <w:t>4</w:t>
            </w:r>
          </w:p>
        </w:tc>
        <w:tc>
          <w:tcPr>
            <w:tcW w:w="2628" w:type="dxa"/>
          </w:tcPr>
          <w:p w14:paraId="2B9F68A3" w14:textId="77777777" w:rsidR="000205D2" w:rsidRDefault="000205D2" w:rsidP="007F7B01"/>
        </w:tc>
      </w:tr>
      <w:tr w:rsidR="00A75479" w14:paraId="6EF15DDA" w14:textId="77777777" w:rsidTr="00B6180F">
        <w:tc>
          <w:tcPr>
            <w:tcW w:w="6588" w:type="dxa"/>
          </w:tcPr>
          <w:p w14:paraId="31E23B5F" w14:textId="5B11F6FA" w:rsidR="00F9039E" w:rsidRDefault="003D09D0" w:rsidP="0075281C">
            <w:r>
              <w:t>Legislation contains no authorization for preventive detention.</w:t>
            </w:r>
          </w:p>
          <w:p w14:paraId="1098DE04" w14:textId="6EC60906" w:rsidR="00A75479" w:rsidRDefault="00A75479" w:rsidP="00944D0D">
            <w:r>
              <w:t>14-</w:t>
            </w:r>
            <w:r w:rsidR="00944D0D">
              <w:t>5</w:t>
            </w:r>
          </w:p>
        </w:tc>
        <w:tc>
          <w:tcPr>
            <w:tcW w:w="2628" w:type="dxa"/>
          </w:tcPr>
          <w:p w14:paraId="5389F7B9" w14:textId="77777777" w:rsidR="007F7B01" w:rsidRDefault="007F7B01" w:rsidP="007F7B01"/>
        </w:tc>
      </w:tr>
      <w:tr w:rsidR="00A75479" w14:paraId="25C49F61" w14:textId="77777777" w:rsidTr="00B6180F">
        <w:tc>
          <w:tcPr>
            <w:tcW w:w="6588" w:type="dxa"/>
          </w:tcPr>
          <w:p w14:paraId="06ADA312" w14:textId="785451F6" w:rsidR="007F7B01" w:rsidRDefault="009D095B" w:rsidP="00CA04C9">
            <w:pPr>
              <w:pStyle w:val="ListParagraph"/>
              <w:numPr>
                <w:ilvl w:val="0"/>
                <w:numId w:val="2"/>
              </w:numPr>
            </w:pPr>
            <w:r>
              <w:t xml:space="preserve">Legislation contains no </w:t>
            </w:r>
            <w:r w:rsidR="004E715F">
              <w:t>authorization</w:t>
            </w:r>
            <w:r>
              <w:t xml:space="preserve"> for </w:t>
            </w:r>
            <w:r w:rsidR="00295EC3">
              <w:t>restriction of freedom based</w:t>
            </w:r>
            <w:r w:rsidR="00A75479">
              <w:t xml:space="preserve"> on a motivation to protect the</w:t>
            </w:r>
            <w:r w:rsidR="00295EC3">
              <w:t xml:space="preserve"> life, health or safety</w:t>
            </w:r>
            <w:r w:rsidR="00CA04C9">
              <w:t xml:space="preserve"> of the person concerned</w:t>
            </w:r>
            <w:r w:rsidR="00295EC3">
              <w:t>.</w:t>
            </w:r>
            <w:r>
              <w:t xml:space="preserve"> </w:t>
            </w:r>
          </w:p>
          <w:p w14:paraId="1613C73F" w14:textId="29FA006B" w:rsidR="00A75479" w:rsidRDefault="00A75479" w:rsidP="006A132B">
            <w:pPr>
              <w:pStyle w:val="ListParagraph"/>
            </w:pPr>
            <w:r>
              <w:t>14-</w:t>
            </w:r>
            <w:r w:rsidR="006A132B">
              <w:t>5-1</w:t>
            </w:r>
          </w:p>
        </w:tc>
        <w:tc>
          <w:tcPr>
            <w:tcW w:w="2628" w:type="dxa"/>
          </w:tcPr>
          <w:p w14:paraId="0FCF7B94" w14:textId="77777777" w:rsidR="007F7B01" w:rsidRDefault="007F7B01" w:rsidP="007F7B01"/>
        </w:tc>
      </w:tr>
      <w:tr w:rsidR="00A75479" w14:paraId="0905C5C7" w14:textId="77777777" w:rsidTr="00B6180F">
        <w:tc>
          <w:tcPr>
            <w:tcW w:w="6588" w:type="dxa"/>
          </w:tcPr>
          <w:p w14:paraId="42DA9221" w14:textId="77777777" w:rsidR="00295EC3" w:rsidRDefault="00CA04C9" w:rsidP="00CA04C9">
            <w:pPr>
              <w:pStyle w:val="ListParagraph"/>
              <w:numPr>
                <w:ilvl w:val="0"/>
                <w:numId w:val="2"/>
              </w:numPr>
            </w:pPr>
            <w:r>
              <w:t>Legislation contains no provision for detention to be imposed as a ‘security measure’ in conjunction with a determination of legal incapacity or incapacity to be held criminally responsible.</w:t>
            </w:r>
          </w:p>
          <w:p w14:paraId="03231213" w14:textId="2A67821D" w:rsidR="00A75479" w:rsidRDefault="00A75479" w:rsidP="006A132B">
            <w:pPr>
              <w:pStyle w:val="ListParagraph"/>
            </w:pPr>
            <w:r>
              <w:t>14-</w:t>
            </w:r>
            <w:r w:rsidR="006A132B">
              <w:t>5-2</w:t>
            </w:r>
          </w:p>
        </w:tc>
        <w:tc>
          <w:tcPr>
            <w:tcW w:w="2628" w:type="dxa"/>
          </w:tcPr>
          <w:p w14:paraId="73792177" w14:textId="77777777" w:rsidR="00295EC3" w:rsidRDefault="00295EC3" w:rsidP="007F7B01"/>
        </w:tc>
      </w:tr>
      <w:tr w:rsidR="00A75479" w14:paraId="6A5F6A2A" w14:textId="77777777" w:rsidTr="00B6180F">
        <w:tc>
          <w:tcPr>
            <w:tcW w:w="6588" w:type="dxa"/>
          </w:tcPr>
          <w:p w14:paraId="61F89F69" w14:textId="2C7E804A" w:rsidR="007F7B01" w:rsidRDefault="007F7B01" w:rsidP="009D095B">
            <w:r>
              <w:t xml:space="preserve">A person who is </w:t>
            </w:r>
            <w:r w:rsidR="009D095B">
              <w:t>subjected to short- or long-term</w:t>
            </w:r>
            <w:r w:rsidR="003D09D0">
              <w:t xml:space="preserve"> detention based on actual or perceived impairment (including any </w:t>
            </w:r>
            <w:r w:rsidR="003D09D0">
              <w:lastRenderedPageBreak/>
              <w:t xml:space="preserve">deprivation of liberty in a mental health setting) </w:t>
            </w:r>
            <w:r w:rsidR="008A4F11">
              <w:t xml:space="preserve">is recognized as a victim of arbitrary detention and </w:t>
            </w:r>
            <w:r>
              <w:t>has access to an</w:t>
            </w:r>
            <w:r w:rsidR="008A430F">
              <w:t xml:space="preserve"> immediate and effective remedy to obtain release and to be</w:t>
            </w:r>
            <w:r w:rsidR="003D09D0">
              <w:t xml:space="preserve"> </w:t>
            </w:r>
            <w:r w:rsidR="009D095B">
              <w:t>provided with compensation, restitution, rehabilitation (if desired, subject to will and preferences), satisfaction and guarantees of non-repetition</w:t>
            </w:r>
            <w:r>
              <w:t>.</w:t>
            </w:r>
          </w:p>
          <w:p w14:paraId="5AC21569" w14:textId="0C546809" w:rsidR="00A75479" w:rsidRDefault="003D09D0" w:rsidP="009D095B">
            <w:r>
              <w:t>14-6</w:t>
            </w:r>
          </w:p>
        </w:tc>
        <w:tc>
          <w:tcPr>
            <w:tcW w:w="2628" w:type="dxa"/>
          </w:tcPr>
          <w:p w14:paraId="62BC3C3A" w14:textId="77777777" w:rsidR="007F7B01" w:rsidRDefault="007F7B01" w:rsidP="007F7B01"/>
        </w:tc>
      </w:tr>
      <w:tr w:rsidR="00A75479" w14:paraId="293226EB" w14:textId="77777777" w:rsidTr="00B6180F">
        <w:tc>
          <w:tcPr>
            <w:tcW w:w="6588" w:type="dxa"/>
          </w:tcPr>
          <w:p w14:paraId="049C6EE3" w14:textId="694DA0F8" w:rsidR="00606928" w:rsidRDefault="00606928" w:rsidP="007F7B01">
            <w:r>
              <w:t>Legislation guarantees a fair trial to all persons without discrimination based on impairment.</w:t>
            </w:r>
          </w:p>
          <w:p w14:paraId="5CFA811C" w14:textId="5F4DA117" w:rsidR="00C20AB2" w:rsidRDefault="00A75479" w:rsidP="00C20AB2">
            <w:r>
              <w:t>14-</w:t>
            </w:r>
            <w:r w:rsidR="005F42C2">
              <w:t>7</w:t>
            </w:r>
          </w:p>
        </w:tc>
        <w:tc>
          <w:tcPr>
            <w:tcW w:w="2628" w:type="dxa"/>
          </w:tcPr>
          <w:p w14:paraId="1137EAAA" w14:textId="77777777" w:rsidR="007F7B01" w:rsidRDefault="007F7B01" w:rsidP="007F7B01"/>
        </w:tc>
      </w:tr>
      <w:tr w:rsidR="00A75479" w14:paraId="296C4144" w14:textId="77777777" w:rsidTr="00B6180F">
        <w:tc>
          <w:tcPr>
            <w:tcW w:w="6588" w:type="dxa"/>
          </w:tcPr>
          <w:p w14:paraId="2615C628" w14:textId="58242F77" w:rsidR="007F7B01" w:rsidRDefault="00C20AB2" w:rsidP="007F7B01">
            <w:pPr>
              <w:pStyle w:val="ListParagraph"/>
              <w:numPr>
                <w:ilvl w:val="0"/>
                <w:numId w:val="4"/>
              </w:numPr>
            </w:pPr>
            <w:r>
              <w:t xml:space="preserve">Legislation recognizes the capacity of all persons to participate </w:t>
            </w:r>
            <w:r w:rsidR="00606928">
              <w:t xml:space="preserve">in </w:t>
            </w:r>
            <w:r w:rsidR="00B2303D">
              <w:t>criminal proceedings and the capacity to be held responsible, without any exception based on impairment.</w:t>
            </w:r>
          </w:p>
          <w:p w14:paraId="040BD0D4" w14:textId="1D8C262F" w:rsidR="00A75479" w:rsidRDefault="003C7F4C" w:rsidP="00A75479">
            <w:pPr>
              <w:pStyle w:val="ListParagraph"/>
            </w:pPr>
            <w:r>
              <w:t>14-7</w:t>
            </w:r>
            <w:r w:rsidR="00A75479">
              <w:t>-1</w:t>
            </w:r>
          </w:p>
        </w:tc>
        <w:tc>
          <w:tcPr>
            <w:tcW w:w="2628" w:type="dxa"/>
          </w:tcPr>
          <w:p w14:paraId="5457051E" w14:textId="77777777" w:rsidR="007F7B01" w:rsidRDefault="007F7B01" w:rsidP="007F7B01"/>
        </w:tc>
      </w:tr>
      <w:tr w:rsidR="00A75479" w14:paraId="744713F5" w14:textId="77777777" w:rsidTr="00B6180F">
        <w:tc>
          <w:tcPr>
            <w:tcW w:w="6588" w:type="dxa"/>
          </w:tcPr>
          <w:p w14:paraId="6E13E12B" w14:textId="03249CA2" w:rsidR="00413836" w:rsidRDefault="00413836" w:rsidP="00413836">
            <w:pPr>
              <w:pStyle w:val="ListParagraph"/>
              <w:numPr>
                <w:ilvl w:val="0"/>
                <w:numId w:val="4"/>
              </w:numPr>
            </w:pPr>
            <w:r>
              <w:t xml:space="preserve">Legislation requires the provision of accommodations and support </w:t>
            </w:r>
            <w:r w:rsidR="00B2303D">
              <w:t>for participation in criminal proceedings.</w:t>
            </w:r>
          </w:p>
          <w:p w14:paraId="3910A0B9" w14:textId="66B076D6" w:rsidR="00A75479" w:rsidRDefault="003C7F4C" w:rsidP="00A75479">
            <w:pPr>
              <w:pStyle w:val="ListParagraph"/>
            </w:pPr>
            <w:r>
              <w:t>14-7</w:t>
            </w:r>
            <w:r w:rsidR="00A75479">
              <w:t>-2</w:t>
            </w:r>
          </w:p>
        </w:tc>
        <w:tc>
          <w:tcPr>
            <w:tcW w:w="2628" w:type="dxa"/>
          </w:tcPr>
          <w:p w14:paraId="4DF2BCF0" w14:textId="77777777" w:rsidR="00413836" w:rsidRDefault="00413836" w:rsidP="00413836"/>
        </w:tc>
      </w:tr>
      <w:tr w:rsidR="00A75479" w14:paraId="5BF43C12" w14:textId="77777777" w:rsidTr="00B6180F">
        <w:tc>
          <w:tcPr>
            <w:tcW w:w="6588" w:type="dxa"/>
          </w:tcPr>
          <w:p w14:paraId="4C11B98A" w14:textId="57A2CC5C" w:rsidR="00413836" w:rsidRDefault="00413836" w:rsidP="00413836">
            <w:pPr>
              <w:pStyle w:val="ListParagraph"/>
              <w:numPr>
                <w:ilvl w:val="0"/>
                <w:numId w:val="4"/>
              </w:numPr>
            </w:pPr>
            <w:r>
              <w:t xml:space="preserve">Legislation does not authorize a determination </w:t>
            </w:r>
            <w:r w:rsidR="003C7F4C">
              <w:t xml:space="preserve">of </w:t>
            </w:r>
            <w:r>
              <w:t>criminal non-res</w:t>
            </w:r>
            <w:r w:rsidR="003C7F4C">
              <w:t xml:space="preserve">ponsibility other than an acquittal, and applies the concept of </w:t>
            </w:r>
            <w:proofErr w:type="spellStart"/>
            <w:r w:rsidR="003C7F4C">
              <w:t>mens</w:t>
            </w:r>
            <w:proofErr w:type="spellEnd"/>
            <w:r w:rsidR="003C7F4C">
              <w:t xml:space="preserve"> rea and any relevant defenses without discrimination based on impairment.</w:t>
            </w:r>
          </w:p>
          <w:p w14:paraId="65D596DC" w14:textId="1CCC6812" w:rsidR="00A75479" w:rsidRDefault="003C7F4C" w:rsidP="00A75479">
            <w:pPr>
              <w:pStyle w:val="ListParagraph"/>
            </w:pPr>
            <w:r>
              <w:t>14-7</w:t>
            </w:r>
            <w:r w:rsidR="00A75479">
              <w:t>-3</w:t>
            </w:r>
          </w:p>
        </w:tc>
        <w:tc>
          <w:tcPr>
            <w:tcW w:w="2628" w:type="dxa"/>
          </w:tcPr>
          <w:p w14:paraId="4E0975AD" w14:textId="77777777" w:rsidR="00413836" w:rsidRDefault="00413836" w:rsidP="007F7B01"/>
        </w:tc>
      </w:tr>
      <w:tr w:rsidR="00A75479" w14:paraId="50CF929C" w14:textId="77777777" w:rsidTr="00B6180F">
        <w:tc>
          <w:tcPr>
            <w:tcW w:w="6588" w:type="dxa"/>
          </w:tcPr>
          <w:p w14:paraId="474E099A" w14:textId="25DCE446" w:rsidR="00413836" w:rsidRDefault="00413836" w:rsidP="00413836">
            <w:pPr>
              <w:pStyle w:val="ListParagraph"/>
              <w:numPr>
                <w:ilvl w:val="0"/>
                <w:numId w:val="4"/>
              </w:numPr>
            </w:pPr>
            <w:r>
              <w:t>Restorative justice measures that involve reparation to victims and to the comm</w:t>
            </w:r>
            <w:r w:rsidR="00BE62F4">
              <w:t xml:space="preserve">unity at large are available </w:t>
            </w:r>
            <w:r w:rsidR="000F3F4D">
              <w:t xml:space="preserve">and </w:t>
            </w:r>
            <w:r>
              <w:t xml:space="preserve">are universally designed to be </w:t>
            </w:r>
            <w:r w:rsidR="00175F9E">
              <w:t>fair</w:t>
            </w:r>
            <w:r w:rsidR="003C7F4C">
              <w:t xml:space="preserve"> irrespectiv</w:t>
            </w:r>
            <w:r w:rsidR="00BE62F4">
              <w:t>e of disability</w:t>
            </w:r>
            <w:r w:rsidR="005D75B4">
              <w:t>/impairment</w:t>
            </w:r>
            <w:r w:rsidR="00BE62F4">
              <w:t>, sex, ethnicity, religion or any other factors</w:t>
            </w:r>
            <w:r w:rsidR="00175F9E">
              <w:t xml:space="preserve"> </w:t>
            </w:r>
            <w:r>
              <w:t>and do not include measures that require compliance with mental health treatment.</w:t>
            </w:r>
          </w:p>
          <w:p w14:paraId="43B170A8" w14:textId="6C5C40B3" w:rsidR="00A75479" w:rsidRDefault="00A75479" w:rsidP="00BE62F4">
            <w:pPr>
              <w:pStyle w:val="ListParagraph"/>
            </w:pPr>
            <w:r>
              <w:t>14-</w:t>
            </w:r>
            <w:r w:rsidR="00BE62F4">
              <w:t>7-4</w:t>
            </w:r>
          </w:p>
        </w:tc>
        <w:tc>
          <w:tcPr>
            <w:tcW w:w="2628" w:type="dxa"/>
          </w:tcPr>
          <w:p w14:paraId="093BA903" w14:textId="77777777" w:rsidR="00413836" w:rsidRDefault="00413836" w:rsidP="007F7B01"/>
        </w:tc>
      </w:tr>
      <w:tr w:rsidR="00A75479" w14:paraId="19CCB07F" w14:textId="77777777" w:rsidTr="00B6180F">
        <w:tc>
          <w:tcPr>
            <w:tcW w:w="6588" w:type="dxa"/>
          </w:tcPr>
          <w:p w14:paraId="1DA06B90" w14:textId="64001F1B" w:rsidR="00413836" w:rsidRDefault="001C3850" w:rsidP="00E50B9E">
            <w:r>
              <w:t>Law and policy require</w:t>
            </w:r>
            <w:r w:rsidR="00BE62F4">
              <w:t xml:space="preserve"> non-discrimination in arrest and detention, including universal design of procedures for accessibility to people with all types of disabilities, </w:t>
            </w:r>
            <w:r>
              <w:t>the duty of procedural accommodation (see Article 13),</w:t>
            </w:r>
            <w:r w:rsidR="009C62EE">
              <w:t xml:space="preserve"> and </w:t>
            </w:r>
            <w:r>
              <w:t xml:space="preserve">provision of </w:t>
            </w:r>
            <w:r w:rsidR="009C62EE">
              <w:t>transactional support (see Article 12 indicators).</w:t>
            </w:r>
          </w:p>
          <w:p w14:paraId="46383F31" w14:textId="7B2B7CBD" w:rsidR="00A75479" w:rsidRDefault="001C3850" w:rsidP="00E50B9E">
            <w:r>
              <w:t>14-8</w:t>
            </w:r>
          </w:p>
        </w:tc>
        <w:tc>
          <w:tcPr>
            <w:tcW w:w="2628" w:type="dxa"/>
          </w:tcPr>
          <w:p w14:paraId="76DD1071" w14:textId="77777777" w:rsidR="00413836" w:rsidRDefault="00413836" w:rsidP="007F7B01"/>
        </w:tc>
      </w:tr>
      <w:tr w:rsidR="00A75479" w14:paraId="1EE27E7B" w14:textId="77777777" w:rsidTr="00B6180F">
        <w:tc>
          <w:tcPr>
            <w:tcW w:w="6588" w:type="dxa"/>
          </w:tcPr>
          <w:p w14:paraId="5C9BABE9" w14:textId="3AB76DCF" w:rsidR="00413836" w:rsidRDefault="00E50B9E" w:rsidP="00E50B9E">
            <w:r>
              <w:t>Legislation guarantees t</w:t>
            </w:r>
            <w:r w:rsidR="00413836">
              <w:t>he right to humane treatment in detention settings</w:t>
            </w:r>
            <w:r w:rsidR="00DF0115">
              <w:t xml:space="preserve"> </w:t>
            </w:r>
            <w:r w:rsidR="006A1AF8">
              <w:t>when persons with disabilities are subject to arrest and detention</w:t>
            </w:r>
            <w:r w:rsidR="001C3850">
              <w:t>, including non-discrimination</w:t>
            </w:r>
            <w:r w:rsidR="00DF0115">
              <w:t xml:space="preserve"> </w:t>
            </w:r>
            <w:r w:rsidR="001C3850">
              <w:t>in all rights and opportunities</w:t>
            </w:r>
            <w:r>
              <w:t xml:space="preserve">, reasonable accommodation, </w:t>
            </w:r>
            <w:r w:rsidR="004B0D36">
              <w:t xml:space="preserve">right to legal capacity and to physical and mental </w:t>
            </w:r>
            <w:r w:rsidR="00B81D90">
              <w:t>integrity, and right to supports and accessibility needed to live and participate in community life within the detention setting.</w:t>
            </w:r>
          </w:p>
          <w:p w14:paraId="5B1EF730" w14:textId="6EA65B1C" w:rsidR="00E50B9E" w:rsidRDefault="004B0D36" w:rsidP="00E50B9E">
            <w:r>
              <w:t>14-9</w:t>
            </w:r>
          </w:p>
        </w:tc>
        <w:tc>
          <w:tcPr>
            <w:tcW w:w="2628" w:type="dxa"/>
          </w:tcPr>
          <w:p w14:paraId="4DFDDBB5" w14:textId="77777777" w:rsidR="00413836" w:rsidRDefault="00E50B9E" w:rsidP="007F7B01">
            <w:r>
              <w:t>:</w:t>
            </w:r>
          </w:p>
        </w:tc>
      </w:tr>
      <w:tr w:rsidR="00A75479" w14:paraId="635A5B58" w14:textId="77777777" w:rsidTr="00B6180F">
        <w:tc>
          <w:tcPr>
            <w:tcW w:w="6588" w:type="dxa"/>
          </w:tcPr>
          <w:p w14:paraId="679F1FF2" w14:textId="467556F6" w:rsidR="00413836" w:rsidRDefault="00E50B9E" w:rsidP="00E50B9E">
            <w:pPr>
              <w:pStyle w:val="ListParagraph"/>
              <w:numPr>
                <w:ilvl w:val="0"/>
                <w:numId w:val="5"/>
              </w:numPr>
            </w:pPr>
            <w:r>
              <w:lastRenderedPageBreak/>
              <w:t>Legislation contains no authorization for t</w:t>
            </w:r>
            <w:r w:rsidR="00B81D90">
              <w:t>ransfer to a mental health unit within or outside the detention setting</w:t>
            </w:r>
            <w:r w:rsidR="004D3004">
              <w:t xml:space="preserve"> without the free and informed consent of the person concerned.</w:t>
            </w:r>
          </w:p>
          <w:p w14:paraId="721AF259" w14:textId="61DECEE2" w:rsidR="00A75479" w:rsidRDefault="00FA5CF4" w:rsidP="00A75479">
            <w:pPr>
              <w:pStyle w:val="ListParagraph"/>
            </w:pPr>
            <w:r>
              <w:t>14-9</w:t>
            </w:r>
            <w:r w:rsidR="00A75479">
              <w:t>-1</w:t>
            </w:r>
          </w:p>
        </w:tc>
        <w:tc>
          <w:tcPr>
            <w:tcW w:w="2628" w:type="dxa"/>
          </w:tcPr>
          <w:p w14:paraId="0ED02CFB" w14:textId="77777777" w:rsidR="00413836" w:rsidRDefault="00413836" w:rsidP="007F7B01"/>
        </w:tc>
      </w:tr>
      <w:tr w:rsidR="00A75479" w14:paraId="748D2AA4" w14:textId="77777777" w:rsidTr="00B6180F">
        <w:tc>
          <w:tcPr>
            <w:tcW w:w="6588" w:type="dxa"/>
          </w:tcPr>
          <w:p w14:paraId="3E0D532E" w14:textId="1C8EE45E" w:rsidR="00413836" w:rsidRDefault="00E50B9E" w:rsidP="00FA5CF4">
            <w:pPr>
              <w:pStyle w:val="ListParagraph"/>
              <w:numPr>
                <w:ilvl w:val="0"/>
                <w:numId w:val="2"/>
              </w:numPr>
            </w:pPr>
            <w:r>
              <w:t xml:space="preserve">Legislation requires free and informed consent of the person concerned </w:t>
            </w:r>
            <w:r w:rsidR="004D3004">
              <w:t xml:space="preserve">for any </w:t>
            </w:r>
            <w:r w:rsidR="00F505CA">
              <w:t>medical treatment or intervention, research or experimentation, diagnosis, observatio</w:t>
            </w:r>
            <w:r w:rsidR="00FA5CF4">
              <w:t>n or admission into a facility with the same standards as civil settings under Indicator 14-3.</w:t>
            </w:r>
          </w:p>
          <w:p w14:paraId="1C6F27B9" w14:textId="725EE7F6" w:rsidR="00A75479" w:rsidRDefault="00FA5CF4" w:rsidP="00A75479">
            <w:pPr>
              <w:pStyle w:val="ListParagraph"/>
            </w:pPr>
            <w:r>
              <w:t>14-9</w:t>
            </w:r>
            <w:r w:rsidR="00A75479">
              <w:t>-2</w:t>
            </w:r>
          </w:p>
        </w:tc>
        <w:tc>
          <w:tcPr>
            <w:tcW w:w="2628" w:type="dxa"/>
          </w:tcPr>
          <w:p w14:paraId="6F539522" w14:textId="77777777" w:rsidR="00413836" w:rsidRDefault="00413836" w:rsidP="007F7B01"/>
        </w:tc>
      </w:tr>
      <w:tr w:rsidR="00A75479" w14:paraId="79A0D2E4" w14:textId="77777777" w:rsidTr="00B6180F">
        <w:tc>
          <w:tcPr>
            <w:tcW w:w="6588" w:type="dxa"/>
          </w:tcPr>
          <w:p w14:paraId="7290C8C7" w14:textId="0B0A624F" w:rsidR="00651321" w:rsidRDefault="00FD0409" w:rsidP="00651321">
            <w:pPr>
              <w:pStyle w:val="ListParagraph"/>
              <w:numPr>
                <w:ilvl w:val="0"/>
                <w:numId w:val="5"/>
              </w:numPr>
            </w:pPr>
            <w:r>
              <w:t>Legisla</w:t>
            </w:r>
            <w:r w:rsidR="00651321">
              <w:t>tion guarantees a prompt and effective remedy for any discrimination or other inhumane treatment in detention settings.</w:t>
            </w:r>
          </w:p>
          <w:p w14:paraId="66A9C7FE" w14:textId="286A2D18" w:rsidR="00A75479" w:rsidRDefault="00A75479" w:rsidP="00651321">
            <w:pPr>
              <w:pStyle w:val="ListParagraph"/>
            </w:pPr>
            <w:r>
              <w:t>14-</w:t>
            </w:r>
            <w:r w:rsidR="00651321">
              <w:t>9-3</w:t>
            </w:r>
          </w:p>
        </w:tc>
        <w:tc>
          <w:tcPr>
            <w:tcW w:w="2628" w:type="dxa"/>
          </w:tcPr>
          <w:p w14:paraId="1A6A4334" w14:textId="77777777" w:rsidR="00413836" w:rsidRDefault="00413836" w:rsidP="007F7B01"/>
        </w:tc>
      </w:tr>
      <w:tr w:rsidR="00A75479" w14:paraId="24AE50B3" w14:textId="77777777" w:rsidTr="00B6180F">
        <w:tc>
          <w:tcPr>
            <w:tcW w:w="6588" w:type="dxa"/>
          </w:tcPr>
          <w:p w14:paraId="45E60FEF" w14:textId="77777777" w:rsidR="00413836" w:rsidRDefault="00413836" w:rsidP="007F7B01">
            <w:r>
              <w:t>Process:</w:t>
            </w:r>
          </w:p>
          <w:p w14:paraId="60C5F927" w14:textId="0F2E6633" w:rsidR="00A75479" w:rsidRDefault="00651321" w:rsidP="007F7B01">
            <w:r>
              <w:t>14-10</w:t>
            </w:r>
          </w:p>
        </w:tc>
        <w:tc>
          <w:tcPr>
            <w:tcW w:w="2628" w:type="dxa"/>
          </w:tcPr>
          <w:p w14:paraId="25F43552" w14:textId="77777777" w:rsidR="00413836" w:rsidRDefault="00413836" w:rsidP="007F7B01"/>
        </w:tc>
      </w:tr>
      <w:tr w:rsidR="00A75479" w14:paraId="5B9AA4CF" w14:textId="77777777" w:rsidTr="00B6180F">
        <w:tc>
          <w:tcPr>
            <w:tcW w:w="6588" w:type="dxa"/>
          </w:tcPr>
          <w:p w14:paraId="1EE7A9E6" w14:textId="63B592D1" w:rsidR="00413836" w:rsidRDefault="00413836" w:rsidP="00EA7E37">
            <w:pPr>
              <w:pStyle w:val="ListParagraph"/>
              <w:numPr>
                <w:ilvl w:val="0"/>
                <w:numId w:val="1"/>
              </w:numPr>
            </w:pPr>
            <w:r>
              <w:t xml:space="preserve">Reforms of law, policy, and practices are enacted to abolish all forms of impairment-based detention including </w:t>
            </w:r>
            <w:r w:rsidR="00651321">
              <w:t>deprivation of liberty for any period of time in a mental health setting</w:t>
            </w:r>
            <w:r w:rsidR="00EA7E37">
              <w:t xml:space="preserve">; </w:t>
            </w:r>
            <w:r>
              <w:t>to</w:t>
            </w:r>
            <w:r w:rsidR="00EA7E37">
              <w:t xml:space="preserve"> abolish determinations of incapacity to be tried or to be held criminally responsible and otherwise</w:t>
            </w:r>
            <w:r>
              <w:t xml:space="preserve"> eliminate discrimination in the criminal justice system and </w:t>
            </w:r>
            <w:r w:rsidR="00EA7E37">
              <w:t>other non-prohibited detention</w:t>
            </w:r>
            <w:r w:rsidR="00223F92">
              <w:t>;</w:t>
            </w:r>
            <w:r>
              <w:t xml:space="preserve"> and to provide effective remedies for violations.</w:t>
            </w:r>
          </w:p>
          <w:p w14:paraId="4E5AA88F" w14:textId="3C6E0F59" w:rsidR="00A75479" w:rsidRDefault="00651321" w:rsidP="00A75479">
            <w:pPr>
              <w:pStyle w:val="ListParagraph"/>
            </w:pPr>
            <w:r>
              <w:t>14-10</w:t>
            </w:r>
            <w:r w:rsidR="00A75479">
              <w:t>-1</w:t>
            </w:r>
          </w:p>
        </w:tc>
        <w:tc>
          <w:tcPr>
            <w:tcW w:w="2628" w:type="dxa"/>
          </w:tcPr>
          <w:p w14:paraId="0701655F" w14:textId="77777777" w:rsidR="00413836" w:rsidRDefault="00413836" w:rsidP="007F7B01"/>
        </w:tc>
      </w:tr>
      <w:tr w:rsidR="00F60B40" w14:paraId="6502F202" w14:textId="77777777" w:rsidTr="00B6180F">
        <w:tc>
          <w:tcPr>
            <w:tcW w:w="6588" w:type="dxa"/>
          </w:tcPr>
          <w:p w14:paraId="6781764A" w14:textId="262E07E8" w:rsidR="00F60B40" w:rsidRDefault="00F60B40" w:rsidP="00734858">
            <w:pPr>
              <w:pStyle w:val="ListParagraph"/>
              <w:numPr>
                <w:ilvl w:val="0"/>
                <w:numId w:val="1"/>
              </w:numPr>
            </w:pPr>
            <w:r>
              <w:t xml:space="preserve">A transitional mechanism is established to release all individuals who are deprived of their liberty in mental health settings and immediately cease </w:t>
            </w:r>
            <w:r w:rsidR="00B6180F">
              <w:t xml:space="preserve">nonconsensual treatment.  In the civil setting individuals are released to the community and </w:t>
            </w:r>
            <w:r w:rsidR="00734858">
              <w:t>provided with</w:t>
            </w:r>
            <w:r w:rsidR="00B6180F">
              <w:t xml:space="preserve"> economic and social support to re-settle, as well as </w:t>
            </w:r>
            <w:r w:rsidR="00725171">
              <w:t>support services related to their disability needs</w:t>
            </w:r>
            <w:r w:rsidR="00386897">
              <w:t>, including peer support and help obtaining employment, and symbolic and practical reparations for the violations they experienced (see Indicator 15-4)</w:t>
            </w:r>
            <w:r w:rsidR="00725171">
              <w:t>.  In criminal or other detention settings they are released to gener</w:t>
            </w:r>
            <w:r w:rsidR="00386897">
              <w:t xml:space="preserve">al population of those settings or to </w:t>
            </w:r>
            <w:r w:rsidR="00734858">
              <w:t>smaller units with no less freedom than general population</w:t>
            </w:r>
            <w:r w:rsidR="00A80BB8">
              <w:t xml:space="preserve"> if not eligible for release to community</w:t>
            </w:r>
            <w:r w:rsidR="00734858">
              <w:t xml:space="preserve">, and are provided with comparable support </w:t>
            </w:r>
            <w:r w:rsidR="00A80BB8">
              <w:t xml:space="preserve">and reparations within the detention setting. </w:t>
            </w:r>
            <w:r w:rsidR="00725171">
              <w:t xml:space="preserve"> Those who choose to remain in mental health </w:t>
            </w:r>
            <w:r w:rsidR="00A80BB8">
              <w:t>inpatient or residential settings</w:t>
            </w:r>
            <w:r w:rsidR="00725171">
              <w:t xml:space="preserve"> are to be </w:t>
            </w:r>
            <w:r w:rsidR="00A80BB8">
              <w:t xml:space="preserve">treated with full respect for their rights and dignity, </w:t>
            </w:r>
            <w:r w:rsidR="00A80BB8">
              <w:lastRenderedPageBreak/>
              <w:t xml:space="preserve">and all services </w:t>
            </w:r>
            <w:r w:rsidR="000F3F4D">
              <w:t xml:space="preserve">are </w:t>
            </w:r>
            <w:r w:rsidR="00A80BB8">
              <w:t>to be based on the free and informed consent of the person concerned.</w:t>
            </w:r>
          </w:p>
          <w:p w14:paraId="04469983" w14:textId="6CA3E32D" w:rsidR="00734858" w:rsidRDefault="00734858" w:rsidP="00734858">
            <w:pPr>
              <w:pStyle w:val="ListParagraph"/>
            </w:pPr>
            <w:r>
              <w:t>14-10-2</w:t>
            </w:r>
          </w:p>
        </w:tc>
        <w:tc>
          <w:tcPr>
            <w:tcW w:w="2628" w:type="dxa"/>
          </w:tcPr>
          <w:p w14:paraId="237BF216" w14:textId="77777777" w:rsidR="00F60B40" w:rsidRDefault="00F60B40" w:rsidP="007F7B01"/>
        </w:tc>
      </w:tr>
      <w:tr w:rsidR="00A75479" w14:paraId="22B302E2" w14:textId="77777777" w:rsidTr="00B6180F">
        <w:tc>
          <w:tcPr>
            <w:tcW w:w="6588" w:type="dxa"/>
          </w:tcPr>
          <w:p w14:paraId="62F29E42" w14:textId="5999742C" w:rsidR="00413836" w:rsidRDefault="00413836" w:rsidP="00EA7E37">
            <w:pPr>
              <w:pStyle w:val="ListParagraph"/>
              <w:numPr>
                <w:ilvl w:val="0"/>
                <w:numId w:val="1"/>
              </w:numPr>
            </w:pPr>
            <w:r>
              <w:t xml:space="preserve">All measures are designed, implemented, and assessed in close collaboration with </w:t>
            </w:r>
            <w:r w:rsidR="00EA7E37">
              <w:t>victims/</w:t>
            </w:r>
            <w:r>
              <w:t>survivors of psychiatry</w:t>
            </w:r>
            <w:r w:rsidR="00EA7E37">
              <w:t>, mental health service users,</w:t>
            </w:r>
            <w:r>
              <w:t xml:space="preserve"> and persons with psychosocial disabilities</w:t>
            </w:r>
            <w:r w:rsidR="00EA7E37">
              <w:t xml:space="preserve"> (which may refer to overlapping groups based on their specific identities)</w:t>
            </w:r>
            <w:r>
              <w:t>, and their representative organizations, who</w:t>
            </w:r>
            <w:r w:rsidR="00C631D4">
              <w:t>/which</w:t>
            </w:r>
            <w:r>
              <w:t xml:space="preserve"> are actively involved in setting the agenda, training and briefing government personnel, and serving in an expert capacity throughout the process.</w:t>
            </w:r>
          </w:p>
          <w:p w14:paraId="56B174FC" w14:textId="042E5D5C" w:rsidR="00A75479" w:rsidRDefault="00651321" w:rsidP="00A75479">
            <w:pPr>
              <w:pStyle w:val="ListParagraph"/>
            </w:pPr>
            <w:r>
              <w:t>14-10</w:t>
            </w:r>
            <w:r w:rsidR="00734858">
              <w:t>-3</w:t>
            </w:r>
          </w:p>
        </w:tc>
        <w:tc>
          <w:tcPr>
            <w:tcW w:w="2628" w:type="dxa"/>
          </w:tcPr>
          <w:p w14:paraId="70E1D4F1" w14:textId="77777777" w:rsidR="00413836" w:rsidRDefault="00413836" w:rsidP="007F7B01"/>
        </w:tc>
      </w:tr>
    </w:tbl>
    <w:p w14:paraId="48827024" w14:textId="3EC45954" w:rsidR="001C3C36" w:rsidRDefault="001C3C36"/>
    <w:p w14:paraId="0DA3B373" w14:textId="77777777" w:rsidR="001C3C36" w:rsidRDefault="001C3C36">
      <w:r>
        <w:br w:type="page"/>
      </w:r>
    </w:p>
    <w:p w14:paraId="3A409346" w14:textId="523B7799" w:rsidR="001C3C36" w:rsidRDefault="00A03111" w:rsidP="001C3C36">
      <w:r>
        <w:lastRenderedPageBreak/>
        <w:t>3. Article</w:t>
      </w:r>
      <w:r w:rsidR="001C3C36">
        <w:t xml:space="preserve"> 15</w:t>
      </w:r>
    </w:p>
    <w:tbl>
      <w:tblPr>
        <w:tblStyle w:val="TableGrid"/>
        <w:tblW w:w="9288" w:type="dxa"/>
        <w:tblLook w:val="04A0" w:firstRow="1" w:lastRow="0" w:firstColumn="1" w:lastColumn="0" w:noHBand="0" w:noVBand="1"/>
      </w:tblPr>
      <w:tblGrid>
        <w:gridCol w:w="6678"/>
        <w:gridCol w:w="2610"/>
      </w:tblGrid>
      <w:tr w:rsidR="001C3C36" w14:paraId="4A76AA3B" w14:textId="77777777" w:rsidTr="0019000A">
        <w:tc>
          <w:tcPr>
            <w:tcW w:w="6678" w:type="dxa"/>
          </w:tcPr>
          <w:p w14:paraId="4CD3632B" w14:textId="10590629" w:rsidR="001C3C36" w:rsidRDefault="008F2AEB" w:rsidP="00EA1B0A">
            <w:r>
              <w:t xml:space="preserve">Legislation </w:t>
            </w:r>
            <w:r w:rsidR="00EA1B0A">
              <w:t xml:space="preserve">requires the prohibition and </w:t>
            </w:r>
            <w:r>
              <w:t xml:space="preserve">effective prevention of </w:t>
            </w:r>
            <w:r w:rsidR="00EA1B0A">
              <w:t>torture and other cruel, inhuman or degrading treatment or punishment, including medical and scientific experimentation or intervention</w:t>
            </w:r>
            <w:r w:rsidR="004440BB">
              <w:t>, or intervention of any kind aiming to treat an actual or perceived impairment,</w:t>
            </w:r>
            <w:r w:rsidR="00EA1B0A">
              <w:t xml:space="preserve"> without the free and informed consent of the person concerned.</w:t>
            </w:r>
          </w:p>
          <w:p w14:paraId="5A5EB32E" w14:textId="64904083" w:rsidR="008A4F11" w:rsidRDefault="008A4F11" w:rsidP="00EA1B0A">
            <w:r>
              <w:t>15-1</w:t>
            </w:r>
          </w:p>
        </w:tc>
        <w:tc>
          <w:tcPr>
            <w:tcW w:w="2610" w:type="dxa"/>
          </w:tcPr>
          <w:p w14:paraId="7E0CC1E0" w14:textId="77777777" w:rsidR="001C3C36" w:rsidRDefault="001C3C36" w:rsidP="001C3C36"/>
        </w:tc>
      </w:tr>
      <w:tr w:rsidR="001C3C36" w14:paraId="05DA82A0" w14:textId="77777777" w:rsidTr="0019000A">
        <w:tc>
          <w:tcPr>
            <w:tcW w:w="6678" w:type="dxa"/>
          </w:tcPr>
          <w:p w14:paraId="53056AAE" w14:textId="6887F750" w:rsidR="001C3C36" w:rsidRDefault="00DB5CB9" w:rsidP="00DB5CB9">
            <w:pPr>
              <w:pStyle w:val="ListParagraph"/>
              <w:numPr>
                <w:ilvl w:val="0"/>
                <w:numId w:val="18"/>
              </w:numPr>
            </w:pPr>
            <w:r>
              <w:t>Psychiatric interventions without the free and informed consent of the person concerned are abolished and prohibited by</w:t>
            </w:r>
            <w:r w:rsidR="000F3F4D">
              <w:t xml:space="preserve"> law.  This includes</w:t>
            </w:r>
            <w:r>
              <w:t xml:space="preserve"> the </w:t>
            </w:r>
            <w:r w:rsidR="00223F92">
              <w:t xml:space="preserve">nonconsensual </w:t>
            </w:r>
            <w:r>
              <w:t xml:space="preserve">administration of psychiatric medication, electroshock or psychosurgery </w:t>
            </w:r>
            <w:r w:rsidR="00223F92">
              <w:t>and/</w:t>
            </w:r>
            <w:r>
              <w:t>or deprivation of liberty in a psychiatric setting</w:t>
            </w:r>
            <w:r w:rsidR="008A4F11">
              <w:t>, for any purpose whether punitive, restrictive or allegedly therapeutic</w:t>
            </w:r>
            <w:r>
              <w:t>.</w:t>
            </w:r>
            <w:r w:rsidR="008A4F11">
              <w:rPr>
                <w:rStyle w:val="FootnoteReference"/>
              </w:rPr>
              <w:footnoteReference w:id="3"/>
            </w:r>
          </w:p>
          <w:p w14:paraId="456D7D03" w14:textId="0D07BDE8" w:rsidR="008A4F11" w:rsidRPr="005529A5" w:rsidRDefault="008A4F11" w:rsidP="008A4F11">
            <w:pPr>
              <w:pStyle w:val="ListParagraph"/>
            </w:pPr>
            <w:r>
              <w:t>15-1-1</w:t>
            </w:r>
          </w:p>
        </w:tc>
        <w:tc>
          <w:tcPr>
            <w:tcW w:w="2610" w:type="dxa"/>
          </w:tcPr>
          <w:p w14:paraId="1461C54B" w14:textId="77777777" w:rsidR="001C3C36" w:rsidRDefault="001C3C36" w:rsidP="001C3C36"/>
        </w:tc>
      </w:tr>
      <w:tr w:rsidR="001C3C36" w14:paraId="67D90EA5" w14:textId="77777777" w:rsidTr="0019000A">
        <w:tc>
          <w:tcPr>
            <w:tcW w:w="6678" w:type="dxa"/>
          </w:tcPr>
          <w:p w14:paraId="7DB3DB94" w14:textId="102B8D78" w:rsidR="001C3C36" w:rsidRDefault="004440BB" w:rsidP="004440BB">
            <w:pPr>
              <w:pStyle w:val="ListParagraph"/>
              <w:numPr>
                <w:ilvl w:val="0"/>
                <w:numId w:val="18"/>
              </w:numPr>
            </w:pPr>
            <w:proofErr w:type="spellStart"/>
            <w:r>
              <w:t>Pasung</w:t>
            </w:r>
            <w:proofErr w:type="spellEnd"/>
            <w:r>
              <w:t>, shackling, beating, confinement in prayer camps, conce</w:t>
            </w:r>
            <w:r w:rsidR="009C12A8">
              <w:t>alment in home, forced intervention of any kind aiming to treat an actual or perceived impairment,</w:t>
            </w:r>
            <w:r>
              <w:t xml:space="preserve"> and any other forms of confinement and mistreatment against persons with disabilities are abolished and prohibited by law.</w:t>
            </w:r>
            <w:r w:rsidR="00035A6C">
              <w:rPr>
                <w:rStyle w:val="FootnoteReference"/>
              </w:rPr>
              <w:footnoteReference w:id="4"/>
            </w:r>
            <w:r w:rsidR="00035A6C">
              <w:t xml:space="preserve"> </w:t>
            </w:r>
            <w:r>
              <w:t xml:space="preserve"> </w:t>
            </w:r>
          </w:p>
          <w:p w14:paraId="2AD1E654" w14:textId="77FBC5CE" w:rsidR="009C12A8" w:rsidRDefault="009C12A8" w:rsidP="009C12A8">
            <w:pPr>
              <w:pStyle w:val="ListParagraph"/>
            </w:pPr>
            <w:r>
              <w:t>15-1-2</w:t>
            </w:r>
          </w:p>
        </w:tc>
        <w:tc>
          <w:tcPr>
            <w:tcW w:w="2610" w:type="dxa"/>
          </w:tcPr>
          <w:p w14:paraId="517DF2D1" w14:textId="77777777" w:rsidR="001C3C36" w:rsidRDefault="001C3C36" w:rsidP="001C3C36"/>
        </w:tc>
      </w:tr>
      <w:tr w:rsidR="001C3C36" w14:paraId="03D619B7" w14:textId="77777777" w:rsidTr="0019000A">
        <w:tc>
          <w:tcPr>
            <w:tcW w:w="6678" w:type="dxa"/>
          </w:tcPr>
          <w:p w14:paraId="719BEDBC" w14:textId="6397D285" w:rsidR="001C3C36" w:rsidRDefault="00A03111" w:rsidP="009C12A8">
            <w:r>
              <w:t xml:space="preserve">Criminal penalties </w:t>
            </w:r>
            <w:r w:rsidR="00A82CC2">
              <w:t xml:space="preserve">attach to </w:t>
            </w:r>
            <w:r>
              <w:t xml:space="preserve">nonconsensual psychiatric interventions and all </w:t>
            </w:r>
            <w:r w:rsidR="001C3C36">
              <w:t>disability-specific forms of</w:t>
            </w:r>
            <w:r>
              <w:t xml:space="preserve"> confinement and mistreatment</w:t>
            </w:r>
            <w:r w:rsidR="001C3C36">
              <w:t>,</w:t>
            </w:r>
            <w:r w:rsidR="006B1A05">
              <w:rPr>
                <w:rStyle w:val="FootnoteReference"/>
              </w:rPr>
              <w:footnoteReference w:id="5"/>
            </w:r>
            <w:r w:rsidR="001C3C36">
              <w:t xml:space="preserve"> and these penalties</w:t>
            </w:r>
            <w:r w:rsidR="00A82CC2">
              <w:t xml:space="preserve"> are not precluded by defenses (</w:t>
            </w:r>
            <w:r w:rsidR="000F3F4D">
              <w:t>such as third-</w:t>
            </w:r>
            <w:r w:rsidR="001C3C36">
              <w:t>party consent to medical treatment o</w:t>
            </w:r>
            <w:r w:rsidR="00A82CC2">
              <w:t>r doctrine of medical necessity)</w:t>
            </w:r>
            <w:r w:rsidR="001C3C36">
              <w:t>.</w:t>
            </w:r>
          </w:p>
          <w:p w14:paraId="452103A9" w14:textId="05FC359E" w:rsidR="009C12A8" w:rsidRDefault="009C12A8" w:rsidP="009C12A8">
            <w:r>
              <w:t>15-2</w:t>
            </w:r>
          </w:p>
        </w:tc>
        <w:tc>
          <w:tcPr>
            <w:tcW w:w="2610" w:type="dxa"/>
          </w:tcPr>
          <w:p w14:paraId="1E963759" w14:textId="77777777" w:rsidR="001C3C36" w:rsidRDefault="001C3C36" w:rsidP="001C3C36"/>
        </w:tc>
      </w:tr>
      <w:tr w:rsidR="001C3C36" w14:paraId="5FE57437" w14:textId="77777777" w:rsidTr="0019000A">
        <w:tc>
          <w:tcPr>
            <w:tcW w:w="6678" w:type="dxa"/>
          </w:tcPr>
          <w:p w14:paraId="2725709F" w14:textId="237A17BF" w:rsidR="00435E9F" w:rsidRDefault="001C3C36" w:rsidP="00435E9F">
            <w:r>
              <w:t>National torture prevention mechan</w:t>
            </w:r>
            <w:r w:rsidR="00FA7958">
              <w:t xml:space="preserve">ism (NPM) </w:t>
            </w:r>
            <w:r w:rsidR="00A82CC2">
              <w:t xml:space="preserve">has been created and </w:t>
            </w:r>
            <w:r w:rsidR="00435E9F">
              <w:t>its mandate includes ensuring compliance w</w:t>
            </w:r>
            <w:r w:rsidR="005E0FE1">
              <w:t xml:space="preserve">ith CRPD Articles 12, 14 and 15, and in particular </w:t>
            </w:r>
            <w:r w:rsidR="006B1A05">
              <w:t xml:space="preserve">an absolute ban on nonconsensual psychiatric interventions and all disability-based forms </w:t>
            </w:r>
            <w:r w:rsidR="005E0FE1">
              <w:t>of confinement and mistreatment.</w:t>
            </w:r>
            <w:r w:rsidR="006B1A05">
              <w:t xml:space="preserve"> </w:t>
            </w:r>
          </w:p>
          <w:p w14:paraId="47A546CA" w14:textId="58FD5155" w:rsidR="001C3C36" w:rsidRDefault="00435E9F" w:rsidP="00435E9F">
            <w:r>
              <w:lastRenderedPageBreak/>
              <w:t xml:space="preserve">15-3 </w:t>
            </w:r>
            <w:r w:rsidR="00A82CC2">
              <w:t xml:space="preserve"> </w:t>
            </w:r>
            <w:r w:rsidR="00FA7958">
              <w:t xml:space="preserve"> </w:t>
            </w:r>
          </w:p>
        </w:tc>
        <w:tc>
          <w:tcPr>
            <w:tcW w:w="2610" w:type="dxa"/>
          </w:tcPr>
          <w:p w14:paraId="2A998DE6" w14:textId="77777777" w:rsidR="001C3C36" w:rsidRDefault="001C3C36" w:rsidP="001C3C36"/>
        </w:tc>
      </w:tr>
      <w:tr w:rsidR="001C3C36" w14:paraId="556F6FF5" w14:textId="77777777" w:rsidTr="0019000A">
        <w:tc>
          <w:tcPr>
            <w:tcW w:w="6678" w:type="dxa"/>
          </w:tcPr>
          <w:p w14:paraId="78183A06" w14:textId="19A15527" w:rsidR="001C3C36" w:rsidRDefault="005E0FE1" w:rsidP="001C3C36">
            <w:r>
              <w:t>A comprehensive mechanism is established to provide collective and individual reparation and remedies to victims of nonconsensual psychiatric interventions and all disability-specific forms of confinement and mistreatment</w:t>
            </w:r>
            <w:r w:rsidR="009A3476">
              <w:t>, in</w:t>
            </w:r>
            <w:r w:rsidR="00734CA0">
              <w:t xml:space="preserve">cluding all forms of reparation – </w:t>
            </w:r>
            <w:r w:rsidR="009A3476">
              <w:t xml:space="preserve">satisfaction, guarantees of non-repetition, restitution, </w:t>
            </w:r>
            <w:r w:rsidR="00734CA0">
              <w:t xml:space="preserve">compensation and rehabilitation – </w:t>
            </w:r>
            <w:r w:rsidR="009A3476">
              <w:t>as defined in UN Basic Principles and Guidelines on the Right to Remedy and Reparation for Victims of Gross Violations of International Human Rights Law.</w:t>
            </w:r>
          </w:p>
          <w:p w14:paraId="1B75B07A" w14:textId="74C46685" w:rsidR="005E0FE1" w:rsidRDefault="005E0FE1" w:rsidP="001C3C36">
            <w:r>
              <w:t>15-4</w:t>
            </w:r>
          </w:p>
        </w:tc>
        <w:tc>
          <w:tcPr>
            <w:tcW w:w="2610" w:type="dxa"/>
          </w:tcPr>
          <w:p w14:paraId="0D00093F" w14:textId="77777777" w:rsidR="001C3C36" w:rsidRDefault="001C3C36" w:rsidP="001C3C36"/>
        </w:tc>
      </w:tr>
      <w:tr w:rsidR="005E0FE1" w14:paraId="03EC642C" w14:textId="77777777" w:rsidTr="0019000A">
        <w:tc>
          <w:tcPr>
            <w:tcW w:w="6678" w:type="dxa"/>
          </w:tcPr>
          <w:p w14:paraId="66EF7D18" w14:textId="0DC2C74F" w:rsidR="005E0FE1" w:rsidRDefault="005E0FE1" w:rsidP="005E0FE1">
            <w:pPr>
              <w:pStyle w:val="ListParagraph"/>
              <w:numPr>
                <w:ilvl w:val="0"/>
                <w:numId w:val="18"/>
              </w:numPr>
            </w:pPr>
            <w:r>
              <w:t>Includes an inquiry to determine the full scope, extent and nature of violations, e.g. a truth</w:t>
            </w:r>
            <w:r w:rsidR="009A3476">
              <w:t xml:space="preserve"> commission, which utilizes </w:t>
            </w:r>
            <w:r>
              <w:t xml:space="preserve">best practices </w:t>
            </w:r>
            <w:r w:rsidR="009A3476">
              <w:t xml:space="preserve">for sensitivity to </w:t>
            </w:r>
            <w:proofErr w:type="gramStart"/>
            <w:r w:rsidR="009A3476">
              <w:t xml:space="preserve">victims </w:t>
            </w:r>
            <w:r w:rsidR="00734CA0">
              <w:t>,</w:t>
            </w:r>
            <w:proofErr w:type="gramEnd"/>
            <w:r w:rsidR="00734CA0">
              <w:t xml:space="preserve"> respect for victims</w:t>
            </w:r>
            <w:r w:rsidR="009A3476">
              <w:t xml:space="preserve"> as witnesses</w:t>
            </w:r>
            <w:r w:rsidR="00ED3E51">
              <w:t>, and formal acceptance of responsibility by the state</w:t>
            </w:r>
            <w:r w:rsidR="009A3476">
              <w:t>.</w:t>
            </w:r>
          </w:p>
          <w:p w14:paraId="7584609D" w14:textId="4B36621E" w:rsidR="009A3476" w:rsidRDefault="009A3476" w:rsidP="009A3476">
            <w:pPr>
              <w:pStyle w:val="ListParagraph"/>
            </w:pPr>
            <w:r>
              <w:t>15-4-1</w:t>
            </w:r>
          </w:p>
        </w:tc>
        <w:tc>
          <w:tcPr>
            <w:tcW w:w="2610" w:type="dxa"/>
          </w:tcPr>
          <w:p w14:paraId="727B6C08" w14:textId="77777777" w:rsidR="005E0FE1" w:rsidRDefault="005E0FE1" w:rsidP="009A3476">
            <w:pPr>
              <w:pStyle w:val="ListParagraph"/>
            </w:pPr>
          </w:p>
        </w:tc>
      </w:tr>
      <w:tr w:rsidR="001C3C36" w14:paraId="618D8442" w14:textId="77777777" w:rsidTr="0019000A">
        <w:tc>
          <w:tcPr>
            <w:tcW w:w="6678" w:type="dxa"/>
          </w:tcPr>
          <w:p w14:paraId="6540A4EF" w14:textId="7C0453CA" w:rsidR="005E0FE1" w:rsidRDefault="009A3476" w:rsidP="009A3476">
            <w:pPr>
              <w:pStyle w:val="ListParagraph"/>
              <w:numPr>
                <w:ilvl w:val="0"/>
                <w:numId w:val="18"/>
              </w:numPr>
            </w:pPr>
            <w:r>
              <w:t>Includes legal abolition and prohibition of nonconsensual psychiatric interventions and all disability-specific forms of confinement and mistreatment if not yet accomplished.</w:t>
            </w:r>
          </w:p>
          <w:p w14:paraId="2F26DB14" w14:textId="4D0F6CF6" w:rsidR="009A3476" w:rsidRDefault="009A3476" w:rsidP="009A3476">
            <w:pPr>
              <w:pStyle w:val="ListParagraph"/>
            </w:pPr>
            <w:r>
              <w:t>15-4-2</w:t>
            </w:r>
          </w:p>
        </w:tc>
        <w:tc>
          <w:tcPr>
            <w:tcW w:w="2610" w:type="dxa"/>
          </w:tcPr>
          <w:p w14:paraId="00AF5647" w14:textId="77777777" w:rsidR="001C3C36" w:rsidRDefault="001C3C36" w:rsidP="001C3C36"/>
        </w:tc>
      </w:tr>
      <w:tr w:rsidR="001C3C36" w14:paraId="337ABC22" w14:textId="77777777" w:rsidTr="0019000A">
        <w:trPr>
          <w:trHeight w:val="1448"/>
        </w:trPr>
        <w:tc>
          <w:tcPr>
            <w:tcW w:w="6678" w:type="dxa"/>
          </w:tcPr>
          <w:p w14:paraId="16F0412E" w14:textId="1A0135B7" w:rsidR="00F60B40" w:rsidRDefault="00ED3E51" w:rsidP="00F60B40">
            <w:pPr>
              <w:pStyle w:val="ListParagraph"/>
              <w:numPr>
                <w:ilvl w:val="0"/>
                <w:numId w:val="19"/>
              </w:numPr>
            </w:pPr>
            <w:r>
              <w:t>Includes a victim-friendly process to claim individual reparations not limited to compensation</w:t>
            </w:r>
            <w:r w:rsidR="00F60B40">
              <w:t xml:space="preserve"> with flexibility to arrange for people’s specific needs resulting from the violations.</w:t>
            </w:r>
          </w:p>
          <w:p w14:paraId="0D17C71A" w14:textId="3B766334" w:rsidR="001C3C36" w:rsidRDefault="00F60B40" w:rsidP="00F60B40">
            <w:pPr>
              <w:pStyle w:val="ListParagraph"/>
            </w:pPr>
            <w:r>
              <w:t xml:space="preserve">15-4-3 </w:t>
            </w:r>
          </w:p>
        </w:tc>
        <w:tc>
          <w:tcPr>
            <w:tcW w:w="2610" w:type="dxa"/>
          </w:tcPr>
          <w:p w14:paraId="643DD755" w14:textId="77777777" w:rsidR="001C3C36" w:rsidRDefault="001C3C36" w:rsidP="001C3C36"/>
        </w:tc>
      </w:tr>
      <w:tr w:rsidR="00F60B40" w14:paraId="70AF3AC1" w14:textId="77777777" w:rsidTr="0019000A">
        <w:tc>
          <w:tcPr>
            <w:tcW w:w="6678" w:type="dxa"/>
          </w:tcPr>
          <w:p w14:paraId="3F7C44F2" w14:textId="238BCC8C" w:rsidR="00646802" w:rsidRDefault="00F60B40" w:rsidP="00646802">
            <w:pPr>
              <w:pStyle w:val="ListParagraph"/>
              <w:numPr>
                <w:ilvl w:val="0"/>
                <w:numId w:val="19"/>
              </w:numPr>
            </w:pPr>
            <w:r>
              <w:t xml:space="preserve">Includes proactively </w:t>
            </w:r>
            <w:r w:rsidR="00A80BB8">
              <w:t xml:space="preserve">seeking </w:t>
            </w:r>
            <w:r w:rsidR="00646802">
              <w:t>out individu</w:t>
            </w:r>
            <w:r w:rsidR="00734CA0">
              <w:t>als in mental health settings and</w:t>
            </w:r>
            <w:r w:rsidR="00646802">
              <w:t xml:space="preserve"> other disability-specific settings, in the streets, </w:t>
            </w:r>
            <w:r w:rsidR="00734CA0">
              <w:t xml:space="preserve">in </w:t>
            </w:r>
            <w:r w:rsidR="00646802">
              <w:t>prisons, and throughout society, to restore their rights and offer assistance with claims.</w:t>
            </w:r>
          </w:p>
          <w:p w14:paraId="441CEE78" w14:textId="16B905F2" w:rsidR="00F60B40" w:rsidRDefault="00646802" w:rsidP="00646802">
            <w:pPr>
              <w:pStyle w:val="ListParagraph"/>
            </w:pPr>
            <w:r>
              <w:t>15-4-4</w:t>
            </w:r>
            <w:r w:rsidR="00A80BB8">
              <w:t xml:space="preserve"> </w:t>
            </w:r>
          </w:p>
        </w:tc>
        <w:tc>
          <w:tcPr>
            <w:tcW w:w="2610" w:type="dxa"/>
          </w:tcPr>
          <w:p w14:paraId="24F546F0" w14:textId="77777777" w:rsidR="00F60B40" w:rsidRDefault="00F60B40" w:rsidP="001C3C36"/>
        </w:tc>
      </w:tr>
      <w:tr w:rsidR="001C3C36" w14:paraId="17820062" w14:textId="77777777" w:rsidTr="0019000A">
        <w:tc>
          <w:tcPr>
            <w:tcW w:w="6678" w:type="dxa"/>
          </w:tcPr>
          <w:p w14:paraId="76EE9D16" w14:textId="3ECFC720" w:rsidR="001C3C36" w:rsidRDefault="00A64EA7" w:rsidP="00A64EA7">
            <w:r>
              <w:t xml:space="preserve">Statutory </w:t>
            </w:r>
            <w:r w:rsidR="00734CA0">
              <w:t xml:space="preserve">protection (e.g. </w:t>
            </w:r>
            <w:r w:rsidR="00C631D4">
              <w:t xml:space="preserve">against </w:t>
            </w:r>
            <w:r w:rsidR="001C3C36">
              <w:t xml:space="preserve">domestic violence) and compensation schemes (e.g. anti-discrimination, victims compensation) </w:t>
            </w:r>
            <w:r w:rsidR="00495EFB">
              <w:t>have been reformed to</w:t>
            </w:r>
            <w:r>
              <w:t xml:space="preserve"> </w:t>
            </w:r>
            <w:r w:rsidR="001C3C36">
              <w:t xml:space="preserve">apply to </w:t>
            </w:r>
            <w:r>
              <w:t>nonconsensual psychiatric</w:t>
            </w:r>
            <w:r w:rsidR="001C3C36">
              <w:t xml:space="preserve"> interventions and other disability-specific </w:t>
            </w:r>
            <w:r w:rsidR="00C631D4">
              <w:t xml:space="preserve">forms of </w:t>
            </w:r>
            <w:r>
              <w:t>confinement and mistreatment.</w:t>
            </w:r>
          </w:p>
          <w:p w14:paraId="06903F8B" w14:textId="05E9BA9D" w:rsidR="00A64EA7" w:rsidRDefault="00A64EA7" w:rsidP="00A64EA7">
            <w:r>
              <w:t>15-5</w:t>
            </w:r>
          </w:p>
        </w:tc>
        <w:tc>
          <w:tcPr>
            <w:tcW w:w="2610" w:type="dxa"/>
          </w:tcPr>
          <w:p w14:paraId="66E26D25" w14:textId="77777777" w:rsidR="001C3C36" w:rsidRDefault="001C3C36" w:rsidP="001C3C36"/>
        </w:tc>
      </w:tr>
      <w:tr w:rsidR="001C3C36" w14:paraId="2C1038C3" w14:textId="77777777" w:rsidTr="0019000A">
        <w:tc>
          <w:tcPr>
            <w:tcW w:w="6678" w:type="dxa"/>
          </w:tcPr>
          <w:p w14:paraId="23F20F0D" w14:textId="77777777" w:rsidR="001C3C36" w:rsidRDefault="001C3C36" w:rsidP="001C3C36">
            <w:r>
              <w:t>Process:</w:t>
            </w:r>
          </w:p>
          <w:p w14:paraId="71555E34" w14:textId="18382F15" w:rsidR="00495EFB" w:rsidRDefault="00495EFB" w:rsidP="001C3C36">
            <w:r>
              <w:t>15-6</w:t>
            </w:r>
          </w:p>
        </w:tc>
        <w:tc>
          <w:tcPr>
            <w:tcW w:w="2610" w:type="dxa"/>
          </w:tcPr>
          <w:p w14:paraId="730BF057" w14:textId="77777777" w:rsidR="001C3C36" w:rsidRDefault="001C3C36" w:rsidP="001C3C36"/>
        </w:tc>
      </w:tr>
      <w:tr w:rsidR="001C3C36" w14:paraId="795F1BB1" w14:textId="77777777" w:rsidTr="0019000A">
        <w:tc>
          <w:tcPr>
            <w:tcW w:w="6678" w:type="dxa"/>
          </w:tcPr>
          <w:p w14:paraId="6992130F" w14:textId="4C3F8D93" w:rsidR="001C3C36" w:rsidRDefault="001C3C36" w:rsidP="00495EFB">
            <w:pPr>
              <w:pStyle w:val="ListParagraph"/>
              <w:numPr>
                <w:ilvl w:val="0"/>
                <w:numId w:val="20"/>
              </w:numPr>
            </w:pPr>
            <w:r>
              <w:t>Remedies and reparation are provided for by law</w:t>
            </w:r>
            <w:r w:rsidR="00C631D4">
              <w:t>, on an</w:t>
            </w:r>
            <w:r>
              <w:t xml:space="preserve"> ongoing basis</w:t>
            </w:r>
            <w:r w:rsidR="00C631D4">
              <w:t>,</w:t>
            </w:r>
            <w:r>
              <w:t xml:space="preserve"> to all victims of</w:t>
            </w:r>
            <w:r w:rsidR="00495EFB">
              <w:t xml:space="preserve"> nonconsensual psychiatric interventions and</w:t>
            </w:r>
            <w:r>
              <w:t xml:space="preserve"> disability-specific </w:t>
            </w:r>
            <w:r w:rsidR="00495EFB">
              <w:t>forms of confinement and mistreatment.</w:t>
            </w:r>
          </w:p>
          <w:p w14:paraId="055E4DC3" w14:textId="3E72E570" w:rsidR="00495EFB" w:rsidRDefault="00495EFB" w:rsidP="00495EFB">
            <w:pPr>
              <w:pStyle w:val="ListParagraph"/>
            </w:pPr>
            <w:r>
              <w:t>15-6-1</w:t>
            </w:r>
          </w:p>
        </w:tc>
        <w:tc>
          <w:tcPr>
            <w:tcW w:w="2610" w:type="dxa"/>
          </w:tcPr>
          <w:p w14:paraId="0DD9D8CE" w14:textId="77777777" w:rsidR="001C3C36" w:rsidRDefault="001C3C36" w:rsidP="001C3C36"/>
        </w:tc>
      </w:tr>
      <w:tr w:rsidR="001C3C36" w14:paraId="32355DF2" w14:textId="77777777" w:rsidTr="0019000A">
        <w:tc>
          <w:tcPr>
            <w:tcW w:w="6678" w:type="dxa"/>
          </w:tcPr>
          <w:p w14:paraId="17187CB8" w14:textId="75573478" w:rsidR="001C3C36" w:rsidRDefault="00495EFB" w:rsidP="00495EFB">
            <w:pPr>
              <w:pStyle w:val="ListParagraph"/>
              <w:numPr>
                <w:ilvl w:val="0"/>
                <w:numId w:val="20"/>
              </w:numPr>
            </w:pPr>
            <w:r>
              <w:lastRenderedPageBreak/>
              <w:t xml:space="preserve">Implementation of reparations and the human rights situation of former victims are monitored to </w:t>
            </w:r>
            <w:r w:rsidR="00C631D4">
              <w:t>ensure vigilance</w:t>
            </w:r>
            <w:r>
              <w:t xml:space="preserve"> against re</w:t>
            </w:r>
            <w:r w:rsidR="00C631D4">
              <w:t>currence</w:t>
            </w:r>
            <w:r>
              <w:t xml:space="preserve"> of violations or appearance of new forms of mistreatment against people with disabilities.</w:t>
            </w:r>
          </w:p>
          <w:p w14:paraId="50B652BB" w14:textId="2E45758E" w:rsidR="00495EFB" w:rsidRDefault="00495EFB" w:rsidP="00495EFB">
            <w:pPr>
              <w:pStyle w:val="ListParagraph"/>
            </w:pPr>
            <w:r>
              <w:t>15-6-2</w:t>
            </w:r>
          </w:p>
        </w:tc>
        <w:tc>
          <w:tcPr>
            <w:tcW w:w="2610" w:type="dxa"/>
          </w:tcPr>
          <w:p w14:paraId="7D90AC77" w14:textId="77777777" w:rsidR="001C3C36" w:rsidRDefault="001C3C36" w:rsidP="001C3C36"/>
        </w:tc>
      </w:tr>
      <w:tr w:rsidR="001C3C36" w14:paraId="4EA8B069" w14:textId="77777777" w:rsidTr="0019000A">
        <w:tc>
          <w:tcPr>
            <w:tcW w:w="6678" w:type="dxa"/>
          </w:tcPr>
          <w:p w14:paraId="4461EB8C" w14:textId="2D84C57F" w:rsidR="001C3C36" w:rsidRDefault="001C3C36" w:rsidP="001C3C36">
            <w:pPr>
              <w:pStyle w:val="ListParagraph"/>
              <w:numPr>
                <w:ilvl w:val="0"/>
                <w:numId w:val="20"/>
              </w:numPr>
            </w:pPr>
            <w:r>
              <w:t>All measures are designed, implemented, and assessed in close collaboration with users and survivors of psychiatry and persons with psychosocial disabilities, and their representative organizations, who</w:t>
            </w:r>
            <w:r w:rsidR="00C631D4">
              <w:t>/which</w:t>
            </w:r>
            <w:r>
              <w:t xml:space="preserve"> are actively involved in setting the agenda, training and briefing government personnel, and serving in an expert capacity throughout the process. </w:t>
            </w:r>
          </w:p>
        </w:tc>
        <w:tc>
          <w:tcPr>
            <w:tcW w:w="2610" w:type="dxa"/>
          </w:tcPr>
          <w:p w14:paraId="7B964381" w14:textId="77777777" w:rsidR="001C3C36" w:rsidRDefault="001C3C36" w:rsidP="001C3C36"/>
        </w:tc>
      </w:tr>
    </w:tbl>
    <w:p w14:paraId="1FC095D3" w14:textId="3599515D" w:rsidR="008673A3" w:rsidRDefault="008673A3">
      <w:r>
        <w:br w:type="page"/>
      </w:r>
    </w:p>
    <w:p w14:paraId="230BA7FD" w14:textId="77777777" w:rsidR="008673A3" w:rsidRDefault="008673A3" w:rsidP="008673A3">
      <w:r>
        <w:lastRenderedPageBreak/>
        <w:t>Articles 19 and 25</w:t>
      </w:r>
    </w:p>
    <w:tbl>
      <w:tblPr>
        <w:tblStyle w:val="TableGrid"/>
        <w:tblW w:w="9288" w:type="dxa"/>
        <w:tblLook w:val="04A0" w:firstRow="1" w:lastRow="0" w:firstColumn="1" w:lastColumn="0" w:noHBand="0" w:noVBand="1"/>
      </w:tblPr>
      <w:tblGrid>
        <w:gridCol w:w="6588"/>
        <w:gridCol w:w="2700"/>
      </w:tblGrid>
      <w:tr w:rsidR="008673A3" w14:paraId="2D8A0E7D" w14:textId="77777777" w:rsidTr="0019000A">
        <w:tc>
          <w:tcPr>
            <w:tcW w:w="6588" w:type="dxa"/>
          </w:tcPr>
          <w:p w14:paraId="05DED1E8" w14:textId="2993DE53" w:rsidR="008673A3" w:rsidRDefault="008673A3" w:rsidP="00B94FFD">
            <w:r>
              <w:t>Access to support</w:t>
            </w:r>
            <w:r w:rsidR="00926AD3">
              <w:t xml:space="preserve"> for living independently in the community</w:t>
            </w:r>
            <w:r>
              <w:t xml:space="preserve"> is an enforceable right</w:t>
            </w:r>
            <w:r w:rsidR="005A7F44">
              <w:t>, for which effective remedies are available,</w:t>
            </w:r>
            <w:r w:rsidR="00B94FFD">
              <w:t xml:space="preserve"> and is budgeted for sufficiently by the state.</w:t>
            </w:r>
          </w:p>
          <w:p w14:paraId="11385AF9" w14:textId="50277251" w:rsidR="005E4E9F" w:rsidRDefault="005E4E9F" w:rsidP="00B94FFD">
            <w:r>
              <w:t>19-1</w:t>
            </w:r>
          </w:p>
        </w:tc>
        <w:tc>
          <w:tcPr>
            <w:tcW w:w="2700" w:type="dxa"/>
          </w:tcPr>
          <w:p w14:paraId="3A06AF91" w14:textId="77777777" w:rsidR="008673A3" w:rsidRDefault="008673A3" w:rsidP="00926AD3"/>
        </w:tc>
      </w:tr>
      <w:tr w:rsidR="008673A3" w14:paraId="1CFA7D75" w14:textId="77777777" w:rsidTr="0019000A">
        <w:tc>
          <w:tcPr>
            <w:tcW w:w="6588" w:type="dxa"/>
          </w:tcPr>
          <w:p w14:paraId="145980BE" w14:textId="77777777" w:rsidR="008673A3" w:rsidRDefault="00B94FFD" w:rsidP="00B94FFD">
            <w:r>
              <w:t xml:space="preserve">Support is required to meet standard of acceptability to the person concerned. </w:t>
            </w:r>
          </w:p>
          <w:p w14:paraId="245AAFD2" w14:textId="48ACC167" w:rsidR="005E4E9F" w:rsidRDefault="005E4E9F" w:rsidP="00B94FFD">
            <w:r>
              <w:t>19-2</w:t>
            </w:r>
          </w:p>
        </w:tc>
        <w:tc>
          <w:tcPr>
            <w:tcW w:w="2700" w:type="dxa"/>
          </w:tcPr>
          <w:p w14:paraId="4617E008" w14:textId="77777777" w:rsidR="008673A3" w:rsidRDefault="008673A3" w:rsidP="00926AD3"/>
        </w:tc>
      </w:tr>
      <w:tr w:rsidR="00B94FFD" w14:paraId="765390AA" w14:textId="77777777" w:rsidTr="0019000A">
        <w:tc>
          <w:tcPr>
            <w:tcW w:w="6588" w:type="dxa"/>
          </w:tcPr>
          <w:p w14:paraId="26847818" w14:textId="77777777" w:rsidR="00B94FFD" w:rsidRDefault="00B94FFD" w:rsidP="00B94FFD">
            <w:pPr>
              <w:pStyle w:val="ListParagraph"/>
              <w:numPr>
                <w:ilvl w:val="0"/>
                <w:numId w:val="20"/>
              </w:numPr>
            </w:pPr>
            <w:r>
              <w:t>Person defines support needs.</w:t>
            </w:r>
          </w:p>
          <w:p w14:paraId="6AA68C57" w14:textId="42FFE4DE" w:rsidR="005E4E9F" w:rsidRDefault="005E4E9F" w:rsidP="005E4E9F">
            <w:pPr>
              <w:pStyle w:val="ListParagraph"/>
            </w:pPr>
            <w:r>
              <w:t>19-2-1</w:t>
            </w:r>
          </w:p>
        </w:tc>
        <w:tc>
          <w:tcPr>
            <w:tcW w:w="2700" w:type="dxa"/>
          </w:tcPr>
          <w:p w14:paraId="1262E0B7" w14:textId="77777777" w:rsidR="00B94FFD" w:rsidRDefault="00B94FFD" w:rsidP="00B94FFD"/>
        </w:tc>
      </w:tr>
      <w:tr w:rsidR="008673A3" w14:paraId="00ED708D" w14:textId="77777777" w:rsidTr="0019000A">
        <w:tc>
          <w:tcPr>
            <w:tcW w:w="6588" w:type="dxa"/>
          </w:tcPr>
          <w:p w14:paraId="6DFC02AB" w14:textId="77777777" w:rsidR="008673A3" w:rsidRDefault="00C65122" w:rsidP="00C65122">
            <w:pPr>
              <w:pStyle w:val="ListParagraph"/>
              <w:numPr>
                <w:ilvl w:val="0"/>
                <w:numId w:val="21"/>
              </w:numPr>
            </w:pPr>
            <w:r>
              <w:t xml:space="preserve">Person controls budget for own support. </w:t>
            </w:r>
          </w:p>
          <w:p w14:paraId="50ABB038" w14:textId="77FF5B25" w:rsidR="005E4E9F" w:rsidRDefault="005E4E9F" w:rsidP="005E4E9F">
            <w:pPr>
              <w:pStyle w:val="ListParagraph"/>
            </w:pPr>
            <w:r>
              <w:t>19-2-2</w:t>
            </w:r>
          </w:p>
        </w:tc>
        <w:tc>
          <w:tcPr>
            <w:tcW w:w="2700" w:type="dxa"/>
          </w:tcPr>
          <w:p w14:paraId="65942F74" w14:textId="77777777" w:rsidR="008673A3" w:rsidRDefault="008673A3" w:rsidP="00926AD3"/>
        </w:tc>
      </w:tr>
      <w:tr w:rsidR="008673A3" w14:paraId="62F144D7" w14:textId="77777777" w:rsidTr="0019000A">
        <w:tc>
          <w:tcPr>
            <w:tcW w:w="6588" w:type="dxa"/>
          </w:tcPr>
          <w:p w14:paraId="1A58928E" w14:textId="77777777" w:rsidR="008673A3" w:rsidRDefault="008673A3" w:rsidP="00C65122">
            <w:pPr>
              <w:pStyle w:val="ListParagraph"/>
              <w:numPr>
                <w:ilvl w:val="0"/>
                <w:numId w:val="21"/>
              </w:numPr>
            </w:pPr>
            <w:r>
              <w:t xml:space="preserve">Person </w:t>
            </w:r>
            <w:r w:rsidR="00C65122">
              <w:t xml:space="preserve">has free choice of willing supporters. </w:t>
            </w:r>
          </w:p>
          <w:p w14:paraId="30038AEB" w14:textId="52FB0BA8" w:rsidR="005E4E9F" w:rsidRDefault="005E4E9F" w:rsidP="005E4E9F">
            <w:pPr>
              <w:pStyle w:val="ListParagraph"/>
            </w:pPr>
            <w:r>
              <w:t>19-2-3</w:t>
            </w:r>
          </w:p>
        </w:tc>
        <w:tc>
          <w:tcPr>
            <w:tcW w:w="2700" w:type="dxa"/>
          </w:tcPr>
          <w:p w14:paraId="12F52DF8" w14:textId="77777777" w:rsidR="008673A3" w:rsidRDefault="008673A3" w:rsidP="00926AD3"/>
        </w:tc>
      </w:tr>
      <w:tr w:rsidR="008673A3" w14:paraId="3E267B04" w14:textId="77777777" w:rsidTr="0019000A">
        <w:tc>
          <w:tcPr>
            <w:tcW w:w="6588" w:type="dxa"/>
          </w:tcPr>
          <w:p w14:paraId="03FAFD1C" w14:textId="77777777" w:rsidR="008673A3" w:rsidRDefault="00C65122" w:rsidP="008673A3">
            <w:pPr>
              <w:pStyle w:val="ListParagraph"/>
              <w:numPr>
                <w:ilvl w:val="0"/>
                <w:numId w:val="21"/>
              </w:numPr>
            </w:pPr>
            <w:r>
              <w:t>Person determines the kind of support(s) to be provided.</w:t>
            </w:r>
          </w:p>
          <w:p w14:paraId="5CEAE813" w14:textId="4ECCBCD0" w:rsidR="005E4E9F" w:rsidRDefault="005E4E9F" w:rsidP="005E4E9F">
            <w:pPr>
              <w:pStyle w:val="ListParagraph"/>
            </w:pPr>
            <w:r>
              <w:t>19-2-4</w:t>
            </w:r>
          </w:p>
        </w:tc>
        <w:tc>
          <w:tcPr>
            <w:tcW w:w="2700" w:type="dxa"/>
          </w:tcPr>
          <w:p w14:paraId="3AD5FBB7" w14:textId="77777777" w:rsidR="008673A3" w:rsidRDefault="008673A3" w:rsidP="00926AD3"/>
        </w:tc>
      </w:tr>
      <w:tr w:rsidR="008673A3" w14:paraId="1DD3659D" w14:textId="77777777" w:rsidTr="0019000A">
        <w:tc>
          <w:tcPr>
            <w:tcW w:w="6588" w:type="dxa"/>
          </w:tcPr>
          <w:p w14:paraId="1F7466C2" w14:textId="77777777" w:rsidR="008673A3" w:rsidRDefault="008673A3" w:rsidP="008673A3">
            <w:pPr>
              <w:pStyle w:val="ListParagraph"/>
              <w:numPr>
                <w:ilvl w:val="0"/>
                <w:numId w:val="21"/>
              </w:numPr>
            </w:pPr>
            <w:r>
              <w:t>Forms of support that are desired but not yet available will be developed to meet expressed needs.</w:t>
            </w:r>
          </w:p>
          <w:p w14:paraId="654A12A1" w14:textId="4F96E93B" w:rsidR="005E4E9F" w:rsidRDefault="005E4E9F" w:rsidP="005E4E9F">
            <w:pPr>
              <w:pStyle w:val="ListParagraph"/>
            </w:pPr>
            <w:r>
              <w:t>19-2-5</w:t>
            </w:r>
          </w:p>
        </w:tc>
        <w:tc>
          <w:tcPr>
            <w:tcW w:w="2700" w:type="dxa"/>
          </w:tcPr>
          <w:p w14:paraId="65B9A3F2" w14:textId="77777777" w:rsidR="008673A3" w:rsidRDefault="008673A3" w:rsidP="00926AD3"/>
        </w:tc>
      </w:tr>
      <w:tr w:rsidR="008673A3" w14:paraId="52AA28FE" w14:textId="77777777" w:rsidTr="0019000A">
        <w:tc>
          <w:tcPr>
            <w:tcW w:w="6588" w:type="dxa"/>
          </w:tcPr>
          <w:p w14:paraId="6B7E6495" w14:textId="77777777" w:rsidR="008673A3" w:rsidRDefault="008673A3" w:rsidP="00C65122">
            <w:r>
              <w:t>All forms of support, including temporary and long-term residential support</w:t>
            </w:r>
            <w:r w:rsidR="00C65122">
              <w:t>, respect autonomy and independent life.</w:t>
            </w:r>
          </w:p>
          <w:p w14:paraId="51EE04B0" w14:textId="6AE59466" w:rsidR="005E4E9F" w:rsidRDefault="005E4E9F" w:rsidP="00C65122">
            <w:r>
              <w:t>19-3</w:t>
            </w:r>
          </w:p>
        </w:tc>
        <w:tc>
          <w:tcPr>
            <w:tcW w:w="2700" w:type="dxa"/>
          </w:tcPr>
          <w:p w14:paraId="3336A6CF" w14:textId="77777777" w:rsidR="008673A3" w:rsidRDefault="008673A3" w:rsidP="00926AD3"/>
        </w:tc>
      </w:tr>
      <w:tr w:rsidR="00C65122" w14:paraId="745C79F9" w14:textId="77777777" w:rsidTr="0019000A">
        <w:tc>
          <w:tcPr>
            <w:tcW w:w="6588" w:type="dxa"/>
          </w:tcPr>
          <w:p w14:paraId="047AF908" w14:textId="77777777" w:rsidR="00C65122" w:rsidRDefault="005E4E9F" w:rsidP="005E4E9F">
            <w:pPr>
              <w:pStyle w:val="ListParagraph"/>
              <w:numPr>
                <w:ilvl w:val="0"/>
                <w:numId w:val="29"/>
              </w:numPr>
            </w:pPr>
            <w:r>
              <w:t xml:space="preserve">Support is only provided with the free and informed consent of the person concerned; never against the person’s will and never based on deception or incentive/disincentive. </w:t>
            </w:r>
          </w:p>
          <w:p w14:paraId="2B8E9A7A" w14:textId="7CB051A3" w:rsidR="005E4E9F" w:rsidRDefault="005E4E9F" w:rsidP="005E4E9F">
            <w:pPr>
              <w:pStyle w:val="ListParagraph"/>
            </w:pPr>
            <w:r>
              <w:t>19-3-1</w:t>
            </w:r>
          </w:p>
        </w:tc>
        <w:tc>
          <w:tcPr>
            <w:tcW w:w="2700" w:type="dxa"/>
          </w:tcPr>
          <w:p w14:paraId="18C90F4B" w14:textId="77777777" w:rsidR="00C65122" w:rsidRDefault="00C65122" w:rsidP="00926AD3"/>
        </w:tc>
      </w:tr>
      <w:tr w:rsidR="008673A3" w14:paraId="4BD501D8" w14:textId="77777777" w:rsidTr="0019000A">
        <w:tc>
          <w:tcPr>
            <w:tcW w:w="6588" w:type="dxa"/>
          </w:tcPr>
          <w:p w14:paraId="1338E117" w14:textId="727F872C" w:rsidR="008673A3" w:rsidRDefault="008673A3" w:rsidP="008673A3">
            <w:pPr>
              <w:pStyle w:val="ListParagraph"/>
              <w:numPr>
                <w:ilvl w:val="0"/>
                <w:numId w:val="22"/>
              </w:numPr>
            </w:pPr>
            <w:r>
              <w:t xml:space="preserve">Supporters respect </w:t>
            </w:r>
            <w:r w:rsidR="005E4E9F">
              <w:t>the individual’s decisions</w:t>
            </w:r>
            <w:r>
              <w:t xml:space="preserve"> at all times</w:t>
            </w:r>
            <w:r w:rsidR="003E2640">
              <w:t>, including decisions made with support designated under Article 12.</w:t>
            </w:r>
          </w:p>
          <w:p w14:paraId="64F37149" w14:textId="081FE109" w:rsidR="005E4E9F" w:rsidRDefault="005E4E9F" w:rsidP="005E4E9F">
            <w:pPr>
              <w:pStyle w:val="ListParagraph"/>
            </w:pPr>
            <w:r>
              <w:t>19-3-2</w:t>
            </w:r>
          </w:p>
        </w:tc>
        <w:tc>
          <w:tcPr>
            <w:tcW w:w="2700" w:type="dxa"/>
          </w:tcPr>
          <w:p w14:paraId="6A4DF5A1" w14:textId="77777777" w:rsidR="008673A3" w:rsidRDefault="008673A3" w:rsidP="00926AD3"/>
        </w:tc>
      </w:tr>
      <w:tr w:rsidR="008673A3" w14:paraId="6ADB05E1" w14:textId="77777777" w:rsidTr="0019000A">
        <w:tc>
          <w:tcPr>
            <w:tcW w:w="6588" w:type="dxa"/>
          </w:tcPr>
          <w:p w14:paraId="69F43B56" w14:textId="03B61465" w:rsidR="008673A3" w:rsidRDefault="008673A3" w:rsidP="008673A3">
            <w:pPr>
              <w:pStyle w:val="ListParagraph"/>
              <w:numPr>
                <w:ilvl w:val="0"/>
                <w:numId w:val="22"/>
              </w:numPr>
            </w:pPr>
            <w:r>
              <w:t xml:space="preserve">Supporters respond to expressed needs and do not </w:t>
            </w:r>
            <w:r w:rsidR="0019000A">
              <w:t xml:space="preserve">direct the person’s </w:t>
            </w:r>
            <w:r w:rsidR="00875D78">
              <w:t xml:space="preserve">way of life, plans, </w:t>
            </w:r>
            <w:r>
              <w:t>or activities.</w:t>
            </w:r>
          </w:p>
          <w:p w14:paraId="45B4ABF0" w14:textId="59954DB9" w:rsidR="005E4E9F" w:rsidRDefault="005E4E9F" w:rsidP="005E4E9F">
            <w:pPr>
              <w:pStyle w:val="ListParagraph"/>
            </w:pPr>
            <w:r>
              <w:t>19-3-3</w:t>
            </w:r>
          </w:p>
        </w:tc>
        <w:tc>
          <w:tcPr>
            <w:tcW w:w="2700" w:type="dxa"/>
          </w:tcPr>
          <w:p w14:paraId="3F34E251" w14:textId="77777777" w:rsidR="008673A3" w:rsidRDefault="008673A3" w:rsidP="00926AD3"/>
        </w:tc>
      </w:tr>
      <w:tr w:rsidR="008673A3" w14:paraId="768AE0B3" w14:textId="77777777" w:rsidTr="0019000A">
        <w:tc>
          <w:tcPr>
            <w:tcW w:w="6588" w:type="dxa"/>
          </w:tcPr>
          <w:p w14:paraId="217187EA" w14:textId="77777777" w:rsidR="008673A3" w:rsidRDefault="008673A3" w:rsidP="00926AD3">
            <w:r>
              <w:t>Forms of support can include (but are not limited to):</w:t>
            </w:r>
          </w:p>
          <w:p w14:paraId="6F7D7B60" w14:textId="1B77E943" w:rsidR="003E2640" w:rsidRDefault="003E2640" w:rsidP="00926AD3">
            <w:r>
              <w:t>19-4</w:t>
            </w:r>
          </w:p>
        </w:tc>
        <w:tc>
          <w:tcPr>
            <w:tcW w:w="2700" w:type="dxa"/>
          </w:tcPr>
          <w:p w14:paraId="3BF30EC8" w14:textId="77777777" w:rsidR="008673A3" w:rsidRDefault="008673A3" w:rsidP="00926AD3"/>
        </w:tc>
      </w:tr>
      <w:tr w:rsidR="008673A3" w14:paraId="6A3928BB" w14:textId="77777777" w:rsidTr="0019000A">
        <w:tc>
          <w:tcPr>
            <w:tcW w:w="6588" w:type="dxa"/>
          </w:tcPr>
          <w:p w14:paraId="623C6D3B" w14:textId="77777777" w:rsidR="008673A3" w:rsidRDefault="008673A3" w:rsidP="008673A3">
            <w:pPr>
              <w:pStyle w:val="ListParagraph"/>
              <w:numPr>
                <w:ilvl w:val="0"/>
                <w:numId w:val="23"/>
              </w:numPr>
            </w:pPr>
            <w:r>
              <w:t>Crisis support and respite (residential and non-residential options).</w:t>
            </w:r>
          </w:p>
          <w:p w14:paraId="48DB2F42" w14:textId="43374B9F" w:rsidR="003E2640" w:rsidRDefault="003E2640" w:rsidP="003E2640">
            <w:pPr>
              <w:pStyle w:val="ListParagraph"/>
            </w:pPr>
            <w:r>
              <w:t>19-4-1</w:t>
            </w:r>
          </w:p>
        </w:tc>
        <w:tc>
          <w:tcPr>
            <w:tcW w:w="2700" w:type="dxa"/>
          </w:tcPr>
          <w:p w14:paraId="1BB0D71D" w14:textId="77777777" w:rsidR="008673A3" w:rsidRDefault="008673A3" w:rsidP="00926AD3"/>
        </w:tc>
      </w:tr>
      <w:tr w:rsidR="008673A3" w14:paraId="27198B53" w14:textId="77777777" w:rsidTr="0019000A">
        <w:tc>
          <w:tcPr>
            <w:tcW w:w="6588" w:type="dxa"/>
          </w:tcPr>
          <w:p w14:paraId="3B5CEEC6" w14:textId="77777777" w:rsidR="008673A3" w:rsidRDefault="008673A3" w:rsidP="008673A3">
            <w:pPr>
              <w:pStyle w:val="ListParagraph"/>
              <w:numPr>
                <w:ilvl w:val="0"/>
                <w:numId w:val="23"/>
              </w:numPr>
            </w:pPr>
            <w:r>
              <w:t>Advocacy and mediation in conflicts with authorities or others.</w:t>
            </w:r>
          </w:p>
          <w:p w14:paraId="2DDC8CCA" w14:textId="7740FDDD" w:rsidR="003E2640" w:rsidRDefault="003E2640" w:rsidP="003E2640">
            <w:pPr>
              <w:pStyle w:val="ListParagraph"/>
            </w:pPr>
            <w:r>
              <w:t>19-4-2</w:t>
            </w:r>
          </w:p>
        </w:tc>
        <w:tc>
          <w:tcPr>
            <w:tcW w:w="2700" w:type="dxa"/>
          </w:tcPr>
          <w:p w14:paraId="0111E8B8" w14:textId="77777777" w:rsidR="008673A3" w:rsidRDefault="008673A3" w:rsidP="00926AD3"/>
        </w:tc>
      </w:tr>
      <w:tr w:rsidR="008673A3" w14:paraId="343FC73E" w14:textId="77777777" w:rsidTr="0019000A">
        <w:tc>
          <w:tcPr>
            <w:tcW w:w="6588" w:type="dxa"/>
          </w:tcPr>
          <w:p w14:paraId="1358029F" w14:textId="4C9D680D" w:rsidR="008673A3" w:rsidRDefault="008673A3" w:rsidP="008673A3">
            <w:pPr>
              <w:pStyle w:val="ListParagraph"/>
              <w:numPr>
                <w:ilvl w:val="0"/>
                <w:numId w:val="23"/>
              </w:numPr>
            </w:pPr>
            <w:r>
              <w:lastRenderedPageBreak/>
              <w:t xml:space="preserve">Harm reduction approaches to self-harm and suicide, </w:t>
            </w:r>
            <w:r w:rsidR="00C631D4">
              <w:t xml:space="preserve">which </w:t>
            </w:r>
            <w:r>
              <w:t>fully respect personal autonomy and decision-making.</w:t>
            </w:r>
          </w:p>
          <w:p w14:paraId="1A02B6A3" w14:textId="326940A4" w:rsidR="003E2640" w:rsidRDefault="003E2640" w:rsidP="003E2640">
            <w:pPr>
              <w:pStyle w:val="ListParagraph"/>
            </w:pPr>
            <w:r>
              <w:t>19-4-3</w:t>
            </w:r>
          </w:p>
        </w:tc>
        <w:tc>
          <w:tcPr>
            <w:tcW w:w="2700" w:type="dxa"/>
          </w:tcPr>
          <w:p w14:paraId="75255521" w14:textId="77777777" w:rsidR="008673A3" w:rsidRDefault="008673A3" w:rsidP="00926AD3"/>
        </w:tc>
      </w:tr>
      <w:tr w:rsidR="008673A3" w14:paraId="7EE4E028" w14:textId="77777777" w:rsidTr="0019000A">
        <w:tc>
          <w:tcPr>
            <w:tcW w:w="6588" w:type="dxa"/>
          </w:tcPr>
          <w:p w14:paraId="0AE193DF" w14:textId="00BC9AC3" w:rsidR="008673A3" w:rsidRDefault="008673A3" w:rsidP="008673A3">
            <w:pPr>
              <w:pStyle w:val="ListParagraph"/>
              <w:numPr>
                <w:ilvl w:val="0"/>
                <w:numId w:val="23"/>
              </w:numPr>
            </w:pPr>
            <w:r>
              <w:t xml:space="preserve">Outreach to offer support, </w:t>
            </w:r>
            <w:r w:rsidR="00C631D4">
              <w:t xml:space="preserve">which </w:t>
            </w:r>
            <w:r>
              <w:t xml:space="preserve">respects at all stages the person’s right to </w:t>
            </w:r>
            <w:r w:rsidR="00C631D4">
              <w:t>consent to or</w:t>
            </w:r>
            <w:r>
              <w:t xml:space="preserve"> refuse</w:t>
            </w:r>
            <w:r w:rsidR="00C631D4">
              <w:t xml:space="preserve"> further engagement</w:t>
            </w:r>
            <w:r>
              <w:t>.</w:t>
            </w:r>
          </w:p>
          <w:p w14:paraId="0DCB5524" w14:textId="0AF27FA6" w:rsidR="003E2640" w:rsidRDefault="003E2640" w:rsidP="003E2640">
            <w:pPr>
              <w:pStyle w:val="ListParagraph"/>
            </w:pPr>
            <w:r>
              <w:t>19-4-4</w:t>
            </w:r>
          </w:p>
        </w:tc>
        <w:tc>
          <w:tcPr>
            <w:tcW w:w="2700" w:type="dxa"/>
          </w:tcPr>
          <w:p w14:paraId="4C8E01B8" w14:textId="77777777" w:rsidR="008673A3" w:rsidRDefault="008673A3" w:rsidP="00926AD3"/>
        </w:tc>
      </w:tr>
      <w:tr w:rsidR="008673A3" w14:paraId="5AE6A097" w14:textId="77777777" w:rsidTr="0019000A">
        <w:tc>
          <w:tcPr>
            <w:tcW w:w="6588" w:type="dxa"/>
          </w:tcPr>
          <w:p w14:paraId="1417A82C" w14:textId="77777777" w:rsidR="008673A3" w:rsidRDefault="008673A3" w:rsidP="008673A3">
            <w:pPr>
              <w:pStyle w:val="ListParagraph"/>
              <w:numPr>
                <w:ilvl w:val="0"/>
                <w:numId w:val="23"/>
              </w:numPr>
            </w:pPr>
            <w:r>
              <w:t>Personal assistance by one or more persons, with any tasks or support needs defined by the person and mutually agreed.</w:t>
            </w:r>
          </w:p>
          <w:p w14:paraId="2D786973" w14:textId="6A9B618B" w:rsidR="003E2640" w:rsidRDefault="003E2640" w:rsidP="003E2640">
            <w:pPr>
              <w:pStyle w:val="ListParagraph"/>
            </w:pPr>
            <w:r>
              <w:t>19-4-5</w:t>
            </w:r>
          </w:p>
        </w:tc>
        <w:tc>
          <w:tcPr>
            <w:tcW w:w="2700" w:type="dxa"/>
          </w:tcPr>
          <w:p w14:paraId="7F72319F" w14:textId="77777777" w:rsidR="008673A3" w:rsidRDefault="008673A3" w:rsidP="00926AD3"/>
        </w:tc>
      </w:tr>
      <w:tr w:rsidR="008673A3" w14:paraId="56139B31" w14:textId="77777777" w:rsidTr="0019000A">
        <w:tc>
          <w:tcPr>
            <w:tcW w:w="6588" w:type="dxa"/>
          </w:tcPr>
          <w:p w14:paraId="65FA0F39" w14:textId="77777777" w:rsidR="008673A3" w:rsidRDefault="008673A3" w:rsidP="008673A3">
            <w:pPr>
              <w:pStyle w:val="ListParagraph"/>
              <w:numPr>
                <w:ilvl w:val="0"/>
                <w:numId w:val="23"/>
              </w:numPr>
            </w:pPr>
            <w:r>
              <w:t>Mutual support relationships and groups.</w:t>
            </w:r>
          </w:p>
          <w:p w14:paraId="5CAB9633" w14:textId="4526F5F8" w:rsidR="003E2640" w:rsidRDefault="003E2640" w:rsidP="003E2640">
            <w:pPr>
              <w:pStyle w:val="ListParagraph"/>
            </w:pPr>
            <w:r>
              <w:t>19-4-6</w:t>
            </w:r>
          </w:p>
        </w:tc>
        <w:tc>
          <w:tcPr>
            <w:tcW w:w="2700" w:type="dxa"/>
          </w:tcPr>
          <w:p w14:paraId="3DADF819" w14:textId="77777777" w:rsidR="008673A3" w:rsidRDefault="008673A3" w:rsidP="00926AD3"/>
        </w:tc>
      </w:tr>
      <w:tr w:rsidR="008673A3" w14:paraId="0CD93569" w14:textId="77777777" w:rsidTr="0019000A">
        <w:tc>
          <w:tcPr>
            <w:tcW w:w="6588" w:type="dxa"/>
          </w:tcPr>
          <w:p w14:paraId="02B6F307" w14:textId="77777777" w:rsidR="008673A3" w:rsidRDefault="008673A3" w:rsidP="008673A3">
            <w:pPr>
              <w:pStyle w:val="ListParagraph"/>
              <w:numPr>
                <w:ilvl w:val="0"/>
                <w:numId w:val="23"/>
              </w:numPr>
            </w:pPr>
            <w:r>
              <w:t>Support arrangements created in context of family or community relationships.</w:t>
            </w:r>
          </w:p>
          <w:p w14:paraId="493584E9" w14:textId="3F961568" w:rsidR="003E2640" w:rsidRDefault="003E2640" w:rsidP="003E2640">
            <w:pPr>
              <w:pStyle w:val="ListParagraph"/>
            </w:pPr>
            <w:r>
              <w:t>19-4-7</w:t>
            </w:r>
          </w:p>
        </w:tc>
        <w:tc>
          <w:tcPr>
            <w:tcW w:w="2700" w:type="dxa"/>
          </w:tcPr>
          <w:p w14:paraId="2538BDE1" w14:textId="77777777" w:rsidR="008673A3" w:rsidRDefault="008673A3" w:rsidP="00926AD3"/>
        </w:tc>
      </w:tr>
      <w:tr w:rsidR="008673A3" w14:paraId="20996281" w14:textId="77777777" w:rsidTr="0019000A">
        <w:tc>
          <w:tcPr>
            <w:tcW w:w="6588" w:type="dxa"/>
          </w:tcPr>
          <w:p w14:paraId="7BC003A8" w14:textId="4B64E5ED" w:rsidR="008673A3" w:rsidRDefault="008673A3" w:rsidP="008673A3">
            <w:pPr>
              <w:pStyle w:val="ListParagraph"/>
              <w:numPr>
                <w:ilvl w:val="0"/>
                <w:numId w:val="23"/>
              </w:numPr>
            </w:pPr>
            <w:r>
              <w:t>Mentoring by elders or chosen advisers.</w:t>
            </w:r>
          </w:p>
          <w:p w14:paraId="03E2BA5D" w14:textId="105942D0" w:rsidR="003E2640" w:rsidRDefault="003E2640" w:rsidP="003E2640">
            <w:pPr>
              <w:pStyle w:val="ListParagraph"/>
            </w:pPr>
            <w:r>
              <w:t>19-4-8</w:t>
            </w:r>
          </w:p>
        </w:tc>
        <w:tc>
          <w:tcPr>
            <w:tcW w:w="2700" w:type="dxa"/>
          </w:tcPr>
          <w:p w14:paraId="2C14449F" w14:textId="77777777" w:rsidR="008673A3" w:rsidRDefault="008673A3" w:rsidP="00926AD3"/>
        </w:tc>
      </w:tr>
      <w:tr w:rsidR="008673A3" w14:paraId="1EEE360B" w14:textId="77777777" w:rsidTr="0019000A">
        <w:tc>
          <w:tcPr>
            <w:tcW w:w="6588" w:type="dxa"/>
          </w:tcPr>
          <w:p w14:paraId="78D5900F" w14:textId="77777777" w:rsidR="008673A3" w:rsidRDefault="008673A3" w:rsidP="008673A3">
            <w:pPr>
              <w:pStyle w:val="ListParagraph"/>
              <w:numPr>
                <w:ilvl w:val="0"/>
                <w:numId w:val="23"/>
              </w:numPr>
            </w:pPr>
            <w:r>
              <w:t>Assistance in accessing medication, making decisions about medication, and withdrawing from medication.</w:t>
            </w:r>
          </w:p>
          <w:p w14:paraId="3764A111" w14:textId="34047CEC" w:rsidR="003E2640" w:rsidRDefault="003E2640" w:rsidP="003E2640">
            <w:pPr>
              <w:pStyle w:val="ListParagraph"/>
            </w:pPr>
            <w:r>
              <w:t>19-4-9</w:t>
            </w:r>
          </w:p>
        </w:tc>
        <w:tc>
          <w:tcPr>
            <w:tcW w:w="2700" w:type="dxa"/>
          </w:tcPr>
          <w:p w14:paraId="2A83D77A" w14:textId="77777777" w:rsidR="008673A3" w:rsidRDefault="008673A3" w:rsidP="00926AD3"/>
        </w:tc>
      </w:tr>
      <w:tr w:rsidR="008673A3" w14:paraId="2C15B224" w14:textId="77777777" w:rsidTr="0019000A">
        <w:tc>
          <w:tcPr>
            <w:tcW w:w="6588" w:type="dxa"/>
          </w:tcPr>
          <w:p w14:paraId="2B392BBF" w14:textId="77777777" w:rsidR="008673A3" w:rsidRDefault="008673A3" w:rsidP="008673A3">
            <w:pPr>
              <w:pStyle w:val="ListParagraph"/>
              <w:numPr>
                <w:ilvl w:val="0"/>
                <w:numId w:val="23"/>
              </w:numPr>
            </w:pPr>
            <w:r>
              <w:t>Any other form of support defined by the person and mutually agreed by chosen supporters.</w:t>
            </w:r>
          </w:p>
          <w:p w14:paraId="339C0BDA" w14:textId="4B501933" w:rsidR="003E2640" w:rsidRDefault="003E2640" w:rsidP="003E2640">
            <w:pPr>
              <w:pStyle w:val="ListParagraph"/>
            </w:pPr>
            <w:r>
              <w:t>19-4-10</w:t>
            </w:r>
          </w:p>
        </w:tc>
        <w:tc>
          <w:tcPr>
            <w:tcW w:w="2700" w:type="dxa"/>
          </w:tcPr>
          <w:p w14:paraId="047F8B75" w14:textId="77777777" w:rsidR="008673A3" w:rsidRDefault="008673A3" w:rsidP="00926AD3"/>
        </w:tc>
      </w:tr>
      <w:tr w:rsidR="008673A3" w14:paraId="08620294" w14:textId="77777777" w:rsidTr="0019000A">
        <w:tc>
          <w:tcPr>
            <w:tcW w:w="6588" w:type="dxa"/>
          </w:tcPr>
          <w:p w14:paraId="75C7D829" w14:textId="77777777" w:rsidR="008673A3" w:rsidRDefault="008673A3" w:rsidP="005840E1">
            <w:r>
              <w:t>All forms of support are implemented with a feminist perspective</w:t>
            </w:r>
            <w:r w:rsidR="003E2640">
              <w:t xml:space="preserve"> on sex-based oppression </w:t>
            </w:r>
            <w:r w:rsidR="005840E1">
              <w:t>of women</w:t>
            </w:r>
            <w:r>
              <w:t>, and feminist support by women for women is available.</w:t>
            </w:r>
          </w:p>
          <w:p w14:paraId="575FD01D" w14:textId="0EBC9C47" w:rsidR="005840E1" w:rsidRDefault="005840E1" w:rsidP="005840E1">
            <w:r>
              <w:t>19-5</w:t>
            </w:r>
          </w:p>
        </w:tc>
        <w:tc>
          <w:tcPr>
            <w:tcW w:w="2700" w:type="dxa"/>
          </w:tcPr>
          <w:p w14:paraId="11BFDBDA" w14:textId="77777777" w:rsidR="008673A3" w:rsidRDefault="008673A3" w:rsidP="00926AD3"/>
        </w:tc>
      </w:tr>
      <w:tr w:rsidR="008673A3" w14:paraId="0EB4A889" w14:textId="77777777" w:rsidTr="0019000A">
        <w:tc>
          <w:tcPr>
            <w:tcW w:w="6588" w:type="dxa"/>
          </w:tcPr>
          <w:p w14:paraId="74C3FB2C" w14:textId="77777777" w:rsidR="008673A3" w:rsidRDefault="008673A3" w:rsidP="00926AD3">
            <w:r>
              <w:t>Mental health services are distinguished from support.</w:t>
            </w:r>
          </w:p>
          <w:p w14:paraId="3309AD13" w14:textId="71DBE9BF" w:rsidR="005840E1" w:rsidRDefault="005840E1" w:rsidP="00926AD3">
            <w:r>
              <w:t>19-6</w:t>
            </w:r>
            <w:r w:rsidR="005A7F44">
              <w:t>/25-1</w:t>
            </w:r>
          </w:p>
        </w:tc>
        <w:tc>
          <w:tcPr>
            <w:tcW w:w="2700" w:type="dxa"/>
          </w:tcPr>
          <w:p w14:paraId="15418C6B" w14:textId="77777777" w:rsidR="008673A3" w:rsidRDefault="008673A3" w:rsidP="00926AD3"/>
        </w:tc>
      </w:tr>
      <w:tr w:rsidR="008673A3" w14:paraId="3C786923" w14:textId="77777777" w:rsidTr="0019000A">
        <w:tc>
          <w:tcPr>
            <w:tcW w:w="6588" w:type="dxa"/>
          </w:tcPr>
          <w:p w14:paraId="7DEB6301" w14:textId="77777777" w:rsidR="008673A3" w:rsidRDefault="008673A3" w:rsidP="00926AD3">
            <w:pPr>
              <w:pStyle w:val="ListParagraph"/>
              <w:numPr>
                <w:ilvl w:val="0"/>
                <w:numId w:val="28"/>
              </w:numPr>
            </w:pPr>
            <w:r>
              <w:t>Support is entirely determined by mutual agreement.</w:t>
            </w:r>
          </w:p>
          <w:p w14:paraId="43B24412" w14:textId="4A421DCA" w:rsidR="005840E1" w:rsidRDefault="005840E1" w:rsidP="005840E1">
            <w:pPr>
              <w:pStyle w:val="ListParagraph"/>
            </w:pPr>
            <w:r>
              <w:t>19-6-1</w:t>
            </w:r>
          </w:p>
        </w:tc>
        <w:tc>
          <w:tcPr>
            <w:tcW w:w="2700" w:type="dxa"/>
          </w:tcPr>
          <w:p w14:paraId="28EA3823" w14:textId="77777777" w:rsidR="008673A3" w:rsidRDefault="008673A3" w:rsidP="00926AD3"/>
        </w:tc>
      </w:tr>
      <w:tr w:rsidR="008673A3" w14:paraId="42FD5A73" w14:textId="77777777" w:rsidTr="0019000A">
        <w:tc>
          <w:tcPr>
            <w:tcW w:w="6588" w:type="dxa"/>
          </w:tcPr>
          <w:p w14:paraId="657DB51C" w14:textId="77777777" w:rsidR="008673A3" w:rsidRDefault="008673A3" w:rsidP="008673A3">
            <w:pPr>
              <w:pStyle w:val="ListParagraph"/>
              <w:numPr>
                <w:ilvl w:val="0"/>
                <w:numId w:val="24"/>
              </w:numPr>
            </w:pPr>
            <w:r>
              <w:t>Mental health services are those services provided by mental health professionals according to their professional standards.</w:t>
            </w:r>
          </w:p>
          <w:p w14:paraId="7266360F" w14:textId="3C074392" w:rsidR="005840E1" w:rsidRDefault="005A7F44" w:rsidP="005840E1">
            <w:pPr>
              <w:pStyle w:val="ListParagraph"/>
            </w:pPr>
            <w:r>
              <w:t>25-1-1</w:t>
            </w:r>
          </w:p>
        </w:tc>
        <w:tc>
          <w:tcPr>
            <w:tcW w:w="2700" w:type="dxa"/>
          </w:tcPr>
          <w:p w14:paraId="5634CF30" w14:textId="77777777" w:rsidR="008673A3" w:rsidRDefault="008673A3" w:rsidP="00926AD3"/>
        </w:tc>
      </w:tr>
      <w:tr w:rsidR="008673A3" w14:paraId="7E61B739" w14:textId="77777777" w:rsidTr="0019000A">
        <w:tc>
          <w:tcPr>
            <w:tcW w:w="6588" w:type="dxa"/>
          </w:tcPr>
          <w:p w14:paraId="074EEF98" w14:textId="77777777" w:rsidR="008673A3" w:rsidRDefault="008673A3" w:rsidP="008673A3">
            <w:pPr>
              <w:pStyle w:val="ListParagraph"/>
              <w:numPr>
                <w:ilvl w:val="0"/>
                <w:numId w:val="24"/>
              </w:numPr>
            </w:pPr>
            <w:r>
              <w:t>Support and mental health services are both offered without any requirement to use one in order to access the other.</w:t>
            </w:r>
          </w:p>
          <w:p w14:paraId="0C83CAD7" w14:textId="1AE8C706" w:rsidR="005840E1" w:rsidRDefault="005A7F44" w:rsidP="005840E1">
            <w:pPr>
              <w:pStyle w:val="ListParagraph"/>
            </w:pPr>
            <w:r>
              <w:t>19-6-2/25-1-2</w:t>
            </w:r>
          </w:p>
        </w:tc>
        <w:tc>
          <w:tcPr>
            <w:tcW w:w="2700" w:type="dxa"/>
          </w:tcPr>
          <w:p w14:paraId="37096483" w14:textId="77777777" w:rsidR="008673A3" w:rsidRDefault="008673A3" w:rsidP="00926AD3"/>
        </w:tc>
      </w:tr>
      <w:tr w:rsidR="008673A3" w14:paraId="2E87E721" w14:textId="77777777" w:rsidTr="0019000A">
        <w:tc>
          <w:tcPr>
            <w:tcW w:w="6588" w:type="dxa"/>
          </w:tcPr>
          <w:p w14:paraId="0EAD8D30" w14:textId="582B6519" w:rsidR="008673A3" w:rsidRDefault="008673A3" w:rsidP="008673A3">
            <w:pPr>
              <w:pStyle w:val="ListParagraph"/>
              <w:numPr>
                <w:ilvl w:val="0"/>
                <w:numId w:val="24"/>
              </w:numPr>
            </w:pPr>
            <w:r>
              <w:t>No diagnosis or assessment is required for support</w:t>
            </w:r>
            <w:r w:rsidR="005840E1">
              <w:t xml:space="preserve"> – only a declaration of need</w:t>
            </w:r>
            <w:r>
              <w:t>.</w:t>
            </w:r>
          </w:p>
          <w:p w14:paraId="05BF0A69" w14:textId="05044502" w:rsidR="005840E1" w:rsidRDefault="005840E1" w:rsidP="005A7F44">
            <w:pPr>
              <w:pStyle w:val="ListParagraph"/>
            </w:pPr>
            <w:r>
              <w:t>19-6-</w:t>
            </w:r>
            <w:r w:rsidR="005A7F44">
              <w:t>3</w:t>
            </w:r>
          </w:p>
        </w:tc>
        <w:tc>
          <w:tcPr>
            <w:tcW w:w="2700" w:type="dxa"/>
          </w:tcPr>
          <w:p w14:paraId="0CFF05A3" w14:textId="77777777" w:rsidR="008673A3" w:rsidRDefault="008673A3" w:rsidP="00926AD3"/>
        </w:tc>
      </w:tr>
      <w:tr w:rsidR="008673A3" w14:paraId="23820F78" w14:textId="77777777" w:rsidTr="0019000A">
        <w:tc>
          <w:tcPr>
            <w:tcW w:w="6588" w:type="dxa"/>
          </w:tcPr>
          <w:p w14:paraId="13D24F65" w14:textId="35D6ED54" w:rsidR="008673A3" w:rsidRDefault="008673A3" w:rsidP="00926AD3">
            <w:r>
              <w:lastRenderedPageBreak/>
              <w:t xml:space="preserve">Mental health services include both medical and non-medical </w:t>
            </w:r>
            <w:r w:rsidR="00852CFD">
              <w:t xml:space="preserve">(e.g. psychotherapy) </w:t>
            </w:r>
            <w:r>
              <w:t>approaches.</w:t>
            </w:r>
          </w:p>
          <w:p w14:paraId="2EBA9735" w14:textId="69AC84FE" w:rsidR="005840E1" w:rsidRDefault="005A7F44" w:rsidP="00926AD3">
            <w:r>
              <w:t>25-2</w:t>
            </w:r>
          </w:p>
        </w:tc>
        <w:tc>
          <w:tcPr>
            <w:tcW w:w="2700" w:type="dxa"/>
          </w:tcPr>
          <w:p w14:paraId="4747AB43" w14:textId="77777777" w:rsidR="008673A3" w:rsidRDefault="008673A3" w:rsidP="00926AD3"/>
        </w:tc>
      </w:tr>
      <w:tr w:rsidR="008673A3" w14:paraId="7E009CC0" w14:textId="77777777" w:rsidTr="0019000A">
        <w:tc>
          <w:tcPr>
            <w:tcW w:w="6588" w:type="dxa"/>
          </w:tcPr>
          <w:p w14:paraId="221E064F" w14:textId="77777777" w:rsidR="008673A3" w:rsidRDefault="008673A3" w:rsidP="00926AD3">
            <w:r>
              <w:t>Medical and non-medical mental health services can only be provided with free and informed consent of the person concerned.</w:t>
            </w:r>
          </w:p>
          <w:p w14:paraId="4F98382C" w14:textId="60A9285F" w:rsidR="005840E1" w:rsidRDefault="005A7F44" w:rsidP="00926AD3">
            <w:r>
              <w:t>25-3</w:t>
            </w:r>
          </w:p>
        </w:tc>
        <w:tc>
          <w:tcPr>
            <w:tcW w:w="2700" w:type="dxa"/>
          </w:tcPr>
          <w:p w14:paraId="1DAFD810" w14:textId="77777777" w:rsidR="008673A3" w:rsidRDefault="008673A3" w:rsidP="00926AD3"/>
        </w:tc>
      </w:tr>
      <w:tr w:rsidR="008673A3" w14:paraId="6E4EB103" w14:textId="77777777" w:rsidTr="0019000A">
        <w:trPr>
          <w:trHeight w:val="152"/>
        </w:trPr>
        <w:tc>
          <w:tcPr>
            <w:tcW w:w="6588" w:type="dxa"/>
          </w:tcPr>
          <w:p w14:paraId="07F2CB92" w14:textId="4E9C52A6" w:rsidR="008673A3" w:rsidRDefault="00FE3C33" w:rsidP="008673A3">
            <w:pPr>
              <w:pStyle w:val="ListParagraph"/>
              <w:numPr>
                <w:ilvl w:val="0"/>
                <w:numId w:val="26"/>
              </w:numPr>
            </w:pPr>
            <w:r>
              <w:t>Free and informed consent is an i</w:t>
            </w:r>
            <w:r w:rsidR="008673A3">
              <w:t xml:space="preserve">nteractive process </w:t>
            </w:r>
            <w:r>
              <w:t>starting from the needs defined by the person</w:t>
            </w:r>
            <w:r w:rsidR="008673A3">
              <w:t>.</w:t>
            </w:r>
          </w:p>
          <w:p w14:paraId="788A61C4" w14:textId="1DBDB89F" w:rsidR="005840E1" w:rsidRDefault="005A7F44" w:rsidP="005840E1">
            <w:pPr>
              <w:pStyle w:val="ListParagraph"/>
            </w:pPr>
            <w:r>
              <w:t>25-3</w:t>
            </w:r>
            <w:r w:rsidR="005840E1">
              <w:t>-1</w:t>
            </w:r>
          </w:p>
        </w:tc>
        <w:tc>
          <w:tcPr>
            <w:tcW w:w="2700" w:type="dxa"/>
          </w:tcPr>
          <w:p w14:paraId="6FD58B52" w14:textId="77777777" w:rsidR="008673A3" w:rsidRDefault="008673A3" w:rsidP="00926AD3"/>
        </w:tc>
      </w:tr>
      <w:tr w:rsidR="008673A3" w14:paraId="6AFCA16F" w14:textId="77777777" w:rsidTr="0019000A">
        <w:tc>
          <w:tcPr>
            <w:tcW w:w="6588" w:type="dxa"/>
          </w:tcPr>
          <w:p w14:paraId="267E382C" w14:textId="12CC6E37" w:rsidR="008673A3" w:rsidRDefault="00373385" w:rsidP="008673A3">
            <w:pPr>
              <w:pStyle w:val="ListParagraph"/>
              <w:numPr>
                <w:ilvl w:val="0"/>
                <w:numId w:val="25"/>
              </w:numPr>
            </w:pPr>
            <w:r>
              <w:t>Consent</w:t>
            </w:r>
            <w:r w:rsidR="00C631D4">
              <w:t xml:space="preserve"> to mental health services</w:t>
            </w:r>
            <w:r>
              <w:t xml:space="preserve"> must be explicit, not tacit, </w:t>
            </w:r>
            <w:r w:rsidR="009304D7">
              <w:t xml:space="preserve">and must be </w:t>
            </w:r>
            <w:r w:rsidR="00C631D4">
              <w:t xml:space="preserve">given </w:t>
            </w:r>
            <w:r w:rsidR="00B62A40">
              <w:t xml:space="preserve">by the person concerned and not any third party, </w:t>
            </w:r>
            <w:r>
              <w:t>and only after provision of accurate information in both technical and easy reading formats about nature of treatment, adverse effects and likelihood of benefit sought by the individual.</w:t>
            </w:r>
          </w:p>
          <w:p w14:paraId="5BE9B367" w14:textId="1843610A" w:rsidR="005840E1" w:rsidRDefault="005A7F44" w:rsidP="005840E1">
            <w:pPr>
              <w:pStyle w:val="ListParagraph"/>
            </w:pPr>
            <w:r>
              <w:t>25-3</w:t>
            </w:r>
            <w:r w:rsidR="005840E1">
              <w:t>-2</w:t>
            </w:r>
          </w:p>
        </w:tc>
        <w:tc>
          <w:tcPr>
            <w:tcW w:w="2700" w:type="dxa"/>
          </w:tcPr>
          <w:p w14:paraId="2F94653D" w14:textId="77777777" w:rsidR="008673A3" w:rsidRDefault="008673A3" w:rsidP="00926AD3"/>
        </w:tc>
      </w:tr>
      <w:tr w:rsidR="008673A3" w14:paraId="6C8AE59C" w14:textId="77777777" w:rsidTr="0019000A">
        <w:tc>
          <w:tcPr>
            <w:tcW w:w="6588" w:type="dxa"/>
          </w:tcPr>
          <w:p w14:paraId="7FD3AA96" w14:textId="76444143" w:rsidR="00FE3C33" w:rsidRDefault="00FE3C33" w:rsidP="00FE3C33">
            <w:pPr>
              <w:pStyle w:val="ListParagraph"/>
              <w:numPr>
                <w:ilvl w:val="0"/>
                <w:numId w:val="25"/>
              </w:numPr>
            </w:pPr>
            <w:r>
              <w:t>Service providers are under a legally enforceable duty to refrain from coercion, undue influence or incentive/disincentive to obtain consent.</w:t>
            </w:r>
          </w:p>
          <w:p w14:paraId="5AE9AFCD" w14:textId="3697651A" w:rsidR="008673A3" w:rsidRDefault="005A7F44" w:rsidP="00FE3C33">
            <w:pPr>
              <w:pStyle w:val="ListParagraph"/>
            </w:pPr>
            <w:r>
              <w:t>25-3</w:t>
            </w:r>
            <w:r w:rsidR="00FE3C33">
              <w:t>-3</w:t>
            </w:r>
          </w:p>
        </w:tc>
        <w:tc>
          <w:tcPr>
            <w:tcW w:w="2700" w:type="dxa"/>
          </w:tcPr>
          <w:p w14:paraId="520A3472" w14:textId="77777777" w:rsidR="008673A3" w:rsidRDefault="008673A3" w:rsidP="00926AD3"/>
        </w:tc>
      </w:tr>
      <w:tr w:rsidR="008673A3" w14:paraId="4BD50ABC" w14:textId="77777777" w:rsidTr="0019000A">
        <w:tc>
          <w:tcPr>
            <w:tcW w:w="6588" w:type="dxa"/>
          </w:tcPr>
          <w:p w14:paraId="44885140" w14:textId="042E828A" w:rsidR="008673A3" w:rsidRDefault="00FE3C33" w:rsidP="00FE3C33">
            <w:pPr>
              <w:pStyle w:val="ListParagraph"/>
              <w:numPr>
                <w:ilvl w:val="0"/>
                <w:numId w:val="25"/>
              </w:numPr>
            </w:pPr>
            <w:r>
              <w:t>S</w:t>
            </w:r>
            <w:r w:rsidR="008673A3">
              <w:t xml:space="preserve">ervice providers </w:t>
            </w:r>
            <w:r>
              <w:t>are required to</w:t>
            </w:r>
            <w:r w:rsidR="008673A3">
              <w:t xml:space="preserve"> discuss all </w:t>
            </w:r>
            <w:r w:rsidR="00C631D4">
              <w:t xml:space="preserve">available </w:t>
            </w:r>
            <w:r w:rsidR="008673A3">
              <w:t>options available related to the desired results, including non-medical and medical approaches, avoiding services, and possibility of support outside mental health services</w:t>
            </w:r>
            <w:r w:rsidR="00C631D4">
              <w:t>;</w:t>
            </w:r>
            <w:r w:rsidR="00B62A40">
              <w:t xml:space="preserve"> and are provided with the necessary training to fulfill this duty</w:t>
            </w:r>
            <w:r w:rsidR="008673A3">
              <w:t>.</w:t>
            </w:r>
          </w:p>
          <w:p w14:paraId="7F7E7535" w14:textId="687B0343" w:rsidR="00B62A40" w:rsidRDefault="005A7F44" w:rsidP="00B62A40">
            <w:pPr>
              <w:pStyle w:val="ListParagraph"/>
            </w:pPr>
            <w:r>
              <w:t>25-3</w:t>
            </w:r>
            <w:r w:rsidR="00B62A40">
              <w:t>-4</w:t>
            </w:r>
          </w:p>
        </w:tc>
        <w:tc>
          <w:tcPr>
            <w:tcW w:w="2700" w:type="dxa"/>
          </w:tcPr>
          <w:p w14:paraId="31635C34" w14:textId="77777777" w:rsidR="008673A3" w:rsidRDefault="008673A3" w:rsidP="00926AD3"/>
        </w:tc>
      </w:tr>
      <w:tr w:rsidR="008673A3" w14:paraId="69AFA1F3" w14:textId="77777777" w:rsidTr="0019000A">
        <w:tc>
          <w:tcPr>
            <w:tcW w:w="6588" w:type="dxa"/>
          </w:tcPr>
          <w:p w14:paraId="24C0CBAE" w14:textId="77777777" w:rsidR="008673A3" w:rsidRDefault="008673A3" w:rsidP="00926AD3">
            <w:r>
              <w:t>Process:</w:t>
            </w:r>
          </w:p>
          <w:p w14:paraId="2E2E37E6" w14:textId="70001A42" w:rsidR="00DA05FD" w:rsidRDefault="00DA05FD" w:rsidP="00926AD3">
            <w:r>
              <w:t>19-7/25-</w:t>
            </w:r>
            <w:r w:rsidR="005A7F44">
              <w:t>4</w:t>
            </w:r>
          </w:p>
        </w:tc>
        <w:tc>
          <w:tcPr>
            <w:tcW w:w="2700" w:type="dxa"/>
          </w:tcPr>
          <w:p w14:paraId="3E234234" w14:textId="77777777" w:rsidR="008673A3" w:rsidRDefault="008673A3" w:rsidP="00926AD3"/>
        </w:tc>
      </w:tr>
      <w:tr w:rsidR="008673A3" w14:paraId="408FE5F9" w14:textId="77777777" w:rsidTr="0019000A">
        <w:tc>
          <w:tcPr>
            <w:tcW w:w="6588" w:type="dxa"/>
          </w:tcPr>
          <w:p w14:paraId="3742ECF5" w14:textId="308503AF" w:rsidR="008673A3" w:rsidRDefault="008673A3" w:rsidP="00926AD3">
            <w:pPr>
              <w:pStyle w:val="ListParagraph"/>
              <w:numPr>
                <w:ilvl w:val="0"/>
                <w:numId w:val="27"/>
              </w:numPr>
            </w:pPr>
            <w:r>
              <w:t>Laws, policies, and practices are enacted to create an enforceable right to support</w:t>
            </w:r>
            <w:r w:rsidR="00520479">
              <w:t>;</w:t>
            </w:r>
            <w:r w:rsidR="005A7F44">
              <w:t xml:space="preserve"> to</w:t>
            </w:r>
            <w:r w:rsidR="00520479">
              <w:t xml:space="preserve"> create an effective and easy-to-</w:t>
            </w:r>
            <w:r w:rsidR="00852CFD">
              <w:t xml:space="preserve">use mechanism to arrange for support and to invoke a legal remedy if </w:t>
            </w:r>
            <w:r w:rsidR="00520479">
              <w:t xml:space="preserve">support is </w:t>
            </w:r>
            <w:r w:rsidR="00852CFD">
              <w:t>denied</w:t>
            </w:r>
            <w:r w:rsidR="00520479">
              <w:t>;</w:t>
            </w:r>
            <w:r>
              <w:t xml:space="preserve"> and to develop and finance services where needed to meet support needs.</w:t>
            </w:r>
          </w:p>
          <w:p w14:paraId="11E4D80C" w14:textId="1D893E3C" w:rsidR="00DA05FD" w:rsidRDefault="00DA05FD" w:rsidP="00DA05FD">
            <w:pPr>
              <w:pStyle w:val="ListParagraph"/>
            </w:pPr>
            <w:r>
              <w:t>19-7-1</w:t>
            </w:r>
          </w:p>
        </w:tc>
        <w:tc>
          <w:tcPr>
            <w:tcW w:w="2700" w:type="dxa"/>
          </w:tcPr>
          <w:p w14:paraId="13410600" w14:textId="77777777" w:rsidR="008673A3" w:rsidRDefault="008673A3" w:rsidP="00926AD3"/>
        </w:tc>
      </w:tr>
      <w:tr w:rsidR="008673A3" w14:paraId="5694BF39" w14:textId="77777777" w:rsidTr="0019000A">
        <w:tc>
          <w:tcPr>
            <w:tcW w:w="6588" w:type="dxa"/>
          </w:tcPr>
          <w:p w14:paraId="71E2B1C9" w14:textId="77777777" w:rsidR="008673A3" w:rsidRDefault="008673A3" w:rsidP="00926AD3">
            <w:pPr>
              <w:pStyle w:val="ListParagraph"/>
              <w:numPr>
                <w:ilvl w:val="0"/>
                <w:numId w:val="27"/>
              </w:numPr>
            </w:pPr>
            <w:r>
              <w:t>Laws, policies, and practices are enacted to ensure free and informed consent in mental health services, and to ensure that services are available, affordable and acceptable to meet expressed needs.</w:t>
            </w:r>
          </w:p>
          <w:p w14:paraId="6B764F3B" w14:textId="40130503" w:rsidR="00DA05FD" w:rsidRDefault="005A7F44" w:rsidP="00DA05FD">
            <w:pPr>
              <w:pStyle w:val="ListParagraph"/>
            </w:pPr>
            <w:r>
              <w:t>25-4</w:t>
            </w:r>
            <w:r w:rsidR="00DA05FD">
              <w:t>-1</w:t>
            </w:r>
          </w:p>
        </w:tc>
        <w:tc>
          <w:tcPr>
            <w:tcW w:w="2700" w:type="dxa"/>
          </w:tcPr>
          <w:p w14:paraId="34CA791B" w14:textId="77777777" w:rsidR="008673A3" w:rsidRDefault="008673A3" w:rsidP="00926AD3"/>
        </w:tc>
      </w:tr>
      <w:tr w:rsidR="008673A3" w14:paraId="199E86A2" w14:textId="77777777" w:rsidTr="0019000A">
        <w:tc>
          <w:tcPr>
            <w:tcW w:w="6588" w:type="dxa"/>
          </w:tcPr>
          <w:p w14:paraId="35D2E62A" w14:textId="79EB3101" w:rsidR="008673A3" w:rsidRDefault="008673A3" w:rsidP="00926AD3">
            <w:pPr>
              <w:pStyle w:val="ListParagraph"/>
              <w:numPr>
                <w:ilvl w:val="0"/>
                <w:numId w:val="27"/>
              </w:numPr>
            </w:pPr>
            <w:r>
              <w:t xml:space="preserve"> All measures are designed, implemented, and assessed in close collaboration with users and survivors of </w:t>
            </w:r>
            <w:r>
              <w:lastRenderedPageBreak/>
              <w:t>psychiatry and persons with psychosocial disabilities, and their representative organizations, who</w:t>
            </w:r>
            <w:r w:rsidR="00520479">
              <w:t>/which</w:t>
            </w:r>
            <w:r>
              <w:t xml:space="preserve"> are actively involved in setting the agenda, training and briefing government personnel, and serving in an expert capacity throughout the process.</w:t>
            </w:r>
          </w:p>
          <w:p w14:paraId="2378D350" w14:textId="7C772A6F" w:rsidR="00DA05FD" w:rsidRDefault="005A7F44" w:rsidP="00DA05FD">
            <w:pPr>
              <w:pStyle w:val="ListParagraph"/>
            </w:pPr>
            <w:r>
              <w:t>19-7-2/25-4</w:t>
            </w:r>
            <w:r w:rsidR="00DA05FD">
              <w:t>-2</w:t>
            </w:r>
          </w:p>
        </w:tc>
        <w:tc>
          <w:tcPr>
            <w:tcW w:w="2700" w:type="dxa"/>
          </w:tcPr>
          <w:p w14:paraId="6D4F633A" w14:textId="77777777" w:rsidR="008673A3" w:rsidRDefault="008673A3" w:rsidP="00926AD3"/>
        </w:tc>
      </w:tr>
    </w:tbl>
    <w:p w14:paraId="719FB151" w14:textId="77777777" w:rsidR="008673A3" w:rsidRDefault="008673A3" w:rsidP="008673A3"/>
    <w:p w14:paraId="55D337AC" w14:textId="77777777" w:rsidR="001C3C36" w:rsidRDefault="001C3C36"/>
    <w:sectPr w:rsidR="001C3C36" w:rsidSect="00D2266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A7351" w14:textId="77777777" w:rsidR="00116579" w:rsidRDefault="00116579" w:rsidP="008B01B8">
      <w:r>
        <w:separator/>
      </w:r>
    </w:p>
  </w:endnote>
  <w:endnote w:type="continuationSeparator" w:id="0">
    <w:p w14:paraId="1C49D503" w14:textId="77777777" w:rsidR="00116579" w:rsidRDefault="00116579" w:rsidP="008B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D5EFE" w14:textId="77777777" w:rsidR="00116579" w:rsidRDefault="00116579" w:rsidP="008B01B8">
      <w:r>
        <w:separator/>
      </w:r>
    </w:p>
  </w:footnote>
  <w:footnote w:type="continuationSeparator" w:id="0">
    <w:p w14:paraId="0A8F4F29" w14:textId="77777777" w:rsidR="00116579" w:rsidRDefault="00116579" w:rsidP="008B01B8">
      <w:r>
        <w:continuationSeparator/>
      </w:r>
    </w:p>
  </w:footnote>
  <w:footnote w:id="1">
    <w:p w14:paraId="1761F435" w14:textId="68FD81E1" w:rsidR="00C631D4" w:rsidRDefault="00C631D4" w:rsidP="00295EC3">
      <w:pPr>
        <w:pStyle w:val="FootnoteText"/>
      </w:pPr>
      <w:r>
        <w:rPr>
          <w:rStyle w:val="FootnoteReference"/>
        </w:rPr>
        <w:footnoteRef/>
      </w:r>
      <w:r>
        <w:t xml:space="preserve"> ‘Impairment’ as used in this document always refers to ‘actual or perceived impairment’ and always includes ‘actual or perceived mental health condition’ even if these terms are not written out in full.</w:t>
      </w:r>
    </w:p>
  </w:footnote>
  <w:footnote w:id="2">
    <w:p w14:paraId="23E26488" w14:textId="77777777" w:rsidR="00C631D4" w:rsidRDefault="00C631D4">
      <w:pPr>
        <w:pStyle w:val="FootnoteText"/>
      </w:pPr>
      <w:r>
        <w:rPr>
          <w:rStyle w:val="FootnoteReference"/>
        </w:rPr>
        <w:footnoteRef/>
      </w:r>
      <w:r>
        <w:t xml:space="preserve"> ‘Legislation’ as used in this document always refers to the entire body of a country’s law, including constitution, codes, statutes, regulations, and binding court precedent and any other binding source of law.  In particular binding court precedents, whether as interpretation of enacted legislation or as stand-alone doctrine in a common-law system, must be reviewed and reformed.</w:t>
      </w:r>
    </w:p>
  </w:footnote>
  <w:footnote w:id="3">
    <w:p w14:paraId="0EB892C5" w14:textId="45F35110" w:rsidR="00C631D4" w:rsidRDefault="00C631D4">
      <w:pPr>
        <w:pStyle w:val="FootnoteText"/>
      </w:pPr>
      <w:r>
        <w:rPr>
          <w:rStyle w:val="FootnoteReference"/>
        </w:rPr>
        <w:footnoteRef/>
      </w:r>
      <w:r>
        <w:t xml:space="preserve"> Can be combined with norm against arbitrary detention, see Indicator 14-6, </w:t>
      </w:r>
    </w:p>
  </w:footnote>
  <w:footnote w:id="4">
    <w:p w14:paraId="52B87E9E" w14:textId="659C39A2" w:rsidR="00035A6C" w:rsidRDefault="00035A6C" w:rsidP="00035A6C">
      <w:pPr>
        <w:pStyle w:val="FootnoteText"/>
      </w:pPr>
      <w:r>
        <w:rPr>
          <w:rStyle w:val="FootnoteReference"/>
        </w:rPr>
        <w:footnoteRef/>
      </w:r>
      <w:r>
        <w:t xml:space="preserve"> </w:t>
      </w:r>
      <w:r>
        <w:t>The categories in this heading would also encompass n</w:t>
      </w:r>
      <w:r>
        <w:t>onconsensual psychiatric interventions</w:t>
      </w:r>
      <w:r>
        <w:t xml:space="preserve">, whether </w:t>
      </w:r>
      <w:r>
        <w:t>they are aimed at treating an actual or perceived mental health condition</w:t>
      </w:r>
      <w:r>
        <w:t xml:space="preserve"> (‘correcting a perceived impairment’)</w:t>
      </w:r>
      <w:r>
        <w:t>, or used for purposes of punishment or control linked to the actual or perceived mental health condition of an individual</w:t>
      </w:r>
      <w:r>
        <w:t xml:space="preserve"> (‘other forms of confinement and mistreatment </w:t>
      </w:r>
      <w:r>
        <w:t>of persons with disabilities’)</w:t>
      </w:r>
      <w:r>
        <w:t>.</w:t>
      </w:r>
    </w:p>
  </w:footnote>
  <w:footnote w:id="5">
    <w:p w14:paraId="4F7FC2D7" w14:textId="196E9DE1" w:rsidR="00C631D4" w:rsidRDefault="00C631D4">
      <w:pPr>
        <w:pStyle w:val="FootnoteText"/>
      </w:pPr>
      <w:r>
        <w:rPr>
          <w:rStyle w:val="FootnoteReference"/>
        </w:rPr>
        <w:footnoteRef/>
      </w:r>
      <w:r>
        <w:t xml:space="preserve"> ‘Nonconsensual psychiatric interventions’ are defined in Indicator 15-1-1.  ‘All disability-specific forms of confinement and mistreatment’ are defined in Indicator 15-1-2.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0F6"/>
    <w:multiLevelType w:val="hybridMultilevel"/>
    <w:tmpl w:val="1FC2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F7702"/>
    <w:multiLevelType w:val="hybridMultilevel"/>
    <w:tmpl w:val="5976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1637A"/>
    <w:multiLevelType w:val="hybridMultilevel"/>
    <w:tmpl w:val="F188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B0946"/>
    <w:multiLevelType w:val="hybridMultilevel"/>
    <w:tmpl w:val="DC0A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ABE"/>
    <w:multiLevelType w:val="hybridMultilevel"/>
    <w:tmpl w:val="F20C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05BB5"/>
    <w:multiLevelType w:val="hybridMultilevel"/>
    <w:tmpl w:val="F5D2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72821"/>
    <w:multiLevelType w:val="hybridMultilevel"/>
    <w:tmpl w:val="CBB4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D250F"/>
    <w:multiLevelType w:val="hybridMultilevel"/>
    <w:tmpl w:val="D7AE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75ED7"/>
    <w:multiLevelType w:val="hybridMultilevel"/>
    <w:tmpl w:val="4F0A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3F47"/>
    <w:multiLevelType w:val="hybridMultilevel"/>
    <w:tmpl w:val="9932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7020B"/>
    <w:multiLevelType w:val="hybridMultilevel"/>
    <w:tmpl w:val="41A2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24BF7"/>
    <w:multiLevelType w:val="hybridMultilevel"/>
    <w:tmpl w:val="F8B4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12316"/>
    <w:multiLevelType w:val="hybridMultilevel"/>
    <w:tmpl w:val="5EE8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A1CA0"/>
    <w:multiLevelType w:val="hybridMultilevel"/>
    <w:tmpl w:val="A358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474DB"/>
    <w:multiLevelType w:val="hybridMultilevel"/>
    <w:tmpl w:val="A914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84463"/>
    <w:multiLevelType w:val="hybridMultilevel"/>
    <w:tmpl w:val="A1D8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56647"/>
    <w:multiLevelType w:val="multilevel"/>
    <w:tmpl w:val="80E8C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3B0922"/>
    <w:multiLevelType w:val="hybridMultilevel"/>
    <w:tmpl w:val="93AC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A7B09"/>
    <w:multiLevelType w:val="hybridMultilevel"/>
    <w:tmpl w:val="FDC0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30E8D"/>
    <w:multiLevelType w:val="hybridMultilevel"/>
    <w:tmpl w:val="C716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D28A0"/>
    <w:multiLevelType w:val="hybridMultilevel"/>
    <w:tmpl w:val="7BD6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F62AD6"/>
    <w:multiLevelType w:val="hybridMultilevel"/>
    <w:tmpl w:val="0C18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6591E"/>
    <w:multiLevelType w:val="hybridMultilevel"/>
    <w:tmpl w:val="80E8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515BA"/>
    <w:multiLevelType w:val="hybridMultilevel"/>
    <w:tmpl w:val="5528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874A0"/>
    <w:multiLevelType w:val="hybridMultilevel"/>
    <w:tmpl w:val="CA56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5A3F26"/>
    <w:multiLevelType w:val="hybridMultilevel"/>
    <w:tmpl w:val="CF3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57410"/>
    <w:multiLevelType w:val="hybridMultilevel"/>
    <w:tmpl w:val="FD7E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D4F04"/>
    <w:multiLevelType w:val="hybridMultilevel"/>
    <w:tmpl w:val="4AA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00300"/>
    <w:multiLevelType w:val="hybridMultilevel"/>
    <w:tmpl w:val="ED3E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6"/>
  </w:num>
  <w:num w:numId="4">
    <w:abstractNumId w:val="4"/>
  </w:num>
  <w:num w:numId="5">
    <w:abstractNumId w:val="23"/>
  </w:num>
  <w:num w:numId="6">
    <w:abstractNumId w:val="28"/>
  </w:num>
  <w:num w:numId="7">
    <w:abstractNumId w:val="24"/>
  </w:num>
  <w:num w:numId="8">
    <w:abstractNumId w:val="15"/>
  </w:num>
  <w:num w:numId="9">
    <w:abstractNumId w:val="16"/>
  </w:num>
  <w:num w:numId="10">
    <w:abstractNumId w:val="17"/>
  </w:num>
  <w:num w:numId="11">
    <w:abstractNumId w:val="21"/>
  </w:num>
  <w:num w:numId="12">
    <w:abstractNumId w:val="13"/>
  </w:num>
  <w:num w:numId="13">
    <w:abstractNumId w:val="7"/>
  </w:num>
  <w:num w:numId="14">
    <w:abstractNumId w:val="27"/>
  </w:num>
  <w:num w:numId="15">
    <w:abstractNumId w:val="8"/>
  </w:num>
  <w:num w:numId="16">
    <w:abstractNumId w:val="6"/>
  </w:num>
  <w:num w:numId="17">
    <w:abstractNumId w:val="2"/>
  </w:num>
  <w:num w:numId="18">
    <w:abstractNumId w:val="1"/>
  </w:num>
  <w:num w:numId="19">
    <w:abstractNumId w:val="25"/>
  </w:num>
  <w:num w:numId="20">
    <w:abstractNumId w:val="18"/>
  </w:num>
  <w:num w:numId="21">
    <w:abstractNumId w:val="3"/>
  </w:num>
  <w:num w:numId="22">
    <w:abstractNumId w:val="10"/>
  </w:num>
  <w:num w:numId="23">
    <w:abstractNumId w:val="0"/>
  </w:num>
  <w:num w:numId="24">
    <w:abstractNumId w:val="14"/>
  </w:num>
  <w:num w:numId="25">
    <w:abstractNumId w:val="12"/>
  </w:num>
  <w:num w:numId="26">
    <w:abstractNumId w:val="9"/>
  </w:num>
  <w:num w:numId="27">
    <w:abstractNumId w:val="19"/>
  </w:num>
  <w:num w:numId="28">
    <w:abstractNumId w:val="2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01"/>
    <w:rsid w:val="000205D2"/>
    <w:rsid w:val="00035A6C"/>
    <w:rsid w:val="000402D3"/>
    <w:rsid w:val="00046A02"/>
    <w:rsid w:val="000F3F4D"/>
    <w:rsid w:val="00116579"/>
    <w:rsid w:val="00135BEA"/>
    <w:rsid w:val="00141ADB"/>
    <w:rsid w:val="00175F9E"/>
    <w:rsid w:val="0019000A"/>
    <w:rsid w:val="001C3850"/>
    <w:rsid w:val="001C3C36"/>
    <w:rsid w:val="001F170B"/>
    <w:rsid w:val="00223F92"/>
    <w:rsid w:val="00294753"/>
    <w:rsid w:val="00295EC3"/>
    <w:rsid w:val="002C555C"/>
    <w:rsid w:val="00335318"/>
    <w:rsid w:val="00373385"/>
    <w:rsid w:val="00386897"/>
    <w:rsid w:val="003C7F4C"/>
    <w:rsid w:val="003D09D0"/>
    <w:rsid w:val="003E2640"/>
    <w:rsid w:val="00413836"/>
    <w:rsid w:val="00435E9F"/>
    <w:rsid w:val="00443206"/>
    <w:rsid w:val="004440BB"/>
    <w:rsid w:val="00495EFB"/>
    <w:rsid w:val="004B0D36"/>
    <w:rsid w:val="004D3004"/>
    <w:rsid w:val="004E715F"/>
    <w:rsid w:val="00520479"/>
    <w:rsid w:val="005840E1"/>
    <w:rsid w:val="005A7F44"/>
    <w:rsid w:val="005D75B4"/>
    <w:rsid w:val="005E0FE1"/>
    <w:rsid w:val="005E4E9F"/>
    <w:rsid w:val="005F42C2"/>
    <w:rsid w:val="00606928"/>
    <w:rsid w:val="00646802"/>
    <w:rsid w:val="00651321"/>
    <w:rsid w:val="00653460"/>
    <w:rsid w:val="006A132B"/>
    <w:rsid w:val="006A1AF8"/>
    <w:rsid w:val="006B1A05"/>
    <w:rsid w:val="006C5BB0"/>
    <w:rsid w:val="00725171"/>
    <w:rsid w:val="00734858"/>
    <w:rsid w:val="00734CA0"/>
    <w:rsid w:val="0075281C"/>
    <w:rsid w:val="0076043C"/>
    <w:rsid w:val="007F7B01"/>
    <w:rsid w:val="00827BC5"/>
    <w:rsid w:val="00852CFD"/>
    <w:rsid w:val="00853EF6"/>
    <w:rsid w:val="008673A3"/>
    <w:rsid w:val="00875D78"/>
    <w:rsid w:val="00885272"/>
    <w:rsid w:val="008A15C6"/>
    <w:rsid w:val="008A430F"/>
    <w:rsid w:val="008A4F11"/>
    <w:rsid w:val="008B01B8"/>
    <w:rsid w:val="008F2AEB"/>
    <w:rsid w:val="00926AD3"/>
    <w:rsid w:val="009304D7"/>
    <w:rsid w:val="00944D0D"/>
    <w:rsid w:val="009A3476"/>
    <w:rsid w:val="009C12A8"/>
    <w:rsid w:val="009C62EE"/>
    <w:rsid w:val="009D095B"/>
    <w:rsid w:val="009E6BA2"/>
    <w:rsid w:val="00A03111"/>
    <w:rsid w:val="00A46E07"/>
    <w:rsid w:val="00A6307F"/>
    <w:rsid w:val="00A64EA7"/>
    <w:rsid w:val="00A75479"/>
    <w:rsid w:val="00A80BB8"/>
    <w:rsid w:val="00A82CC2"/>
    <w:rsid w:val="00AA2E38"/>
    <w:rsid w:val="00B2303D"/>
    <w:rsid w:val="00B256A4"/>
    <w:rsid w:val="00B5190A"/>
    <w:rsid w:val="00B6180F"/>
    <w:rsid w:val="00B62A40"/>
    <w:rsid w:val="00B81D90"/>
    <w:rsid w:val="00B94FFD"/>
    <w:rsid w:val="00BB5FF1"/>
    <w:rsid w:val="00BE1D50"/>
    <w:rsid w:val="00BE62F4"/>
    <w:rsid w:val="00BF188C"/>
    <w:rsid w:val="00C20AB2"/>
    <w:rsid w:val="00C4086A"/>
    <w:rsid w:val="00C555BF"/>
    <w:rsid w:val="00C631D4"/>
    <w:rsid w:val="00C65122"/>
    <w:rsid w:val="00CA04C9"/>
    <w:rsid w:val="00D22669"/>
    <w:rsid w:val="00D70BEF"/>
    <w:rsid w:val="00D8584E"/>
    <w:rsid w:val="00DA05FD"/>
    <w:rsid w:val="00DA4FDC"/>
    <w:rsid w:val="00DB5CB9"/>
    <w:rsid w:val="00DC449E"/>
    <w:rsid w:val="00DD5883"/>
    <w:rsid w:val="00DF0115"/>
    <w:rsid w:val="00E50B9E"/>
    <w:rsid w:val="00EA1B0A"/>
    <w:rsid w:val="00EA3C20"/>
    <w:rsid w:val="00EA7E37"/>
    <w:rsid w:val="00ED3E51"/>
    <w:rsid w:val="00F03156"/>
    <w:rsid w:val="00F17178"/>
    <w:rsid w:val="00F505CA"/>
    <w:rsid w:val="00F60B40"/>
    <w:rsid w:val="00F9039E"/>
    <w:rsid w:val="00FA4C8C"/>
    <w:rsid w:val="00FA5CF4"/>
    <w:rsid w:val="00FA7958"/>
    <w:rsid w:val="00FD0409"/>
    <w:rsid w:val="00FE3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23FA7A"/>
  <w14:defaultImageDpi w14:val="300"/>
  <w15:docId w15:val="{E4BD883B-163F-564E-8D91-B48535CA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B01"/>
    <w:pPr>
      <w:ind w:left="720"/>
      <w:contextualSpacing/>
    </w:pPr>
  </w:style>
  <w:style w:type="paragraph" w:styleId="FootnoteText">
    <w:name w:val="footnote text"/>
    <w:basedOn w:val="Normal"/>
    <w:link w:val="FootnoteTextChar"/>
    <w:uiPriority w:val="99"/>
    <w:unhideWhenUsed/>
    <w:rsid w:val="008B01B8"/>
  </w:style>
  <w:style w:type="character" w:customStyle="1" w:styleId="FootnoteTextChar">
    <w:name w:val="Footnote Text Char"/>
    <w:basedOn w:val="DefaultParagraphFont"/>
    <w:link w:val="FootnoteText"/>
    <w:uiPriority w:val="99"/>
    <w:rsid w:val="008B01B8"/>
  </w:style>
  <w:style w:type="character" w:styleId="FootnoteReference">
    <w:name w:val="footnote reference"/>
    <w:basedOn w:val="DefaultParagraphFont"/>
    <w:uiPriority w:val="99"/>
    <w:unhideWhenUsed/>
    <w:rsid w:val="008B0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4</cp:revision>
  <dcterms:created xsi:type="dcterms:W3CDTF">2019-02-28T21:25:00Z</dcterms:created>
  <dcterms:modified xsi:type="dcterms:W3CDTF">2019-02-28T21:36:00Z</dcterms:modified>
</cp:coreProperties>
</file>