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268E0" w14:textId="77777777" w:rsidR="00694947" w:rsidRPr="00CC61F9" w:rsidRDefault="00694947">
      <w:pPr>
        <w:rPr>
          <w:b/>
        </w:rPr>
      </w:pPr>
      <w:r w:rsidRPr="00CC61F9">
        <w:rPr>
          <w:b/>
        </w:rPr>
        <w:t>Discernment as process, not pre-condition</w:t>
      </w:r>
    </w:p>
    <w:p w14:paraId="01555C8D" w14:textId="77777777" w:rsidR="00694947" w:rsidRDefault="00694947"/>
    <w:p w14:paraId="50CB821E" w14:textId="6F6CA133" w:rsidR="00694947" w:rsidRDefault="00142C57">
      <w:r>
        <w:t>In both continental and common law systems</w:t>
      </w:r>
      <w:r w:rsidR="00694947">
        <w:t xml:space="preserve">, the concept of discernment plays a central role as a factor that determines whether a person is considered to have or not have </w:t>
      </w:r>
      <w:r>
        <w:t xml:space="preserve">the </w:t>
      </w:r>
      <w:r w:rsidR="00694947">
        <w:t xml:space="preserve">capacity to make decisions or to exercise rights and duties for oneself.  This use is contrary to CRPD Article 12 – it places conditions on the right to </w:t>
      </w:r>
      <w:r>
        <w:t>exercise agency</w:t>
      </w:r>
      <w:r w:rsidR="00694947">
        <w:t xml:space="preserve">, based on implicit or explicit assessment of a person’s decision-making skills.  The Committee on the Rights of Persons with Disabilities explains that a person’s actual or perceived decision-making skills, sometimes also called ‘mental capacity’ (a problematic concept constructed by various questionable disciplines, not to be uncritically accepted as a fact about any person), cannot be used to restrict or deny a person’s legal capacity to </w:t>
      </w:r>
      <w:r>
        <w:t>make decisions</w:t>
      </w:r>
      <w:r w:rsidR="00694947">
        <w:t>.  Said another way, it amounts to a ‘functional’ approach to the deprivation of legal capacity, one of three approaches that are used to deny the legal capacity of people with disabilities.</w:t>
      </w:r>
    </w:p>
    <w:p w14:paraId="2F5B06B1" w14:textId="77777777" w:rsidR="00694947" w:rsidRDefault="00694947"/>
    <w:p w14:paraId="5FF119DB" w14:textId="77777777" w:rsidR="002272B4" w:rsidRDefault="00694947">
      <w:r>
        <w:t xml:space="preserve">Yet the concept of discernment has another facet, and another function.  Discernment is also a process of contemplation engaged in by one or more individuals, to seek the inner truth </w:t>
      </w:r>
      <w:r w:rsidR="002272B4">
        <w:t xml:space="preserve">of a situation and come to a resolution.  It cannot be measured or assessed objectively; its only end point is an inner sense of resolution, satisfaction or congruence, or a mutual sense of resolution, satisfaction or congruence when it involves more than one person.  It’s a concept used in some religious settings, and can imply a sense of sacred space or time, or simply a turning inward of attention.  It can be a conversation or meditation, but might also take place over time by acknowledging a question or dilemma, or feeling of unease, and marking it to allow oneself to become aware of information that rises to the surface, or allowing a resolution to take form without conscious focused attention.  When we mull things over, when we set aside a big decision for later, even when we simply think we are procrastinating, if our minds keep coming back to the problem and we become aware of the unease, all this can be how we use discernment.  </w:t>
      </w:r>
    </w:p>
    <w:p w14:paraId="40B3AE3D" w14:textId="77777777" w:rsidR="002272B4" w:rsidRDefault="002272B4"/>
    <w:p w14:paraId="60D87C30" w14:textId="609CD8AA" w:rsidR="0067709A" w:rsidRDefault="00142C57">
      <w:r>
        <w:t>S</w:t>
      </w:r>
      <w:r w:rsidR="002272B4">
        <w:t xml:space="preserve">ometimes we balk at the bigness of a dilemma, or the way it presents itself as having no way out; something is unpalatable to us.  A parent didn’t love us and didn’t make it right before they died; the only person who loved us is gone and will never come back; we were abused by the person we placed our trust in and we feel broken.  </w:t>
      </w:r>
      <w:r w:rsidR="0067709A">
        <w:t xml:space="preserve">Or we don’t have the concepts or words, we just know we did something wrong, we failed, this is the end, our souls are gone or dead.  Discernment can be developed and worked with in all these situations, patiently, slowly, paying attention to what comes up and what knits itself together, allowing attention to ebb and flow, in meditation or conversation or over long periods of time.  </w:t>
      </w:r>
    </w:p>
    <w:p w14:paraId="50D52EE8" w14:textId="77777777" w:rsidR="0067709A" w:rsidRDefault="0067709A"/>
    <w:p w14:paraId="72B7F1E0" w14:textId="45649561" w:rsidR="00590355" w:rsidRDefault="0067709A">
      <w:r>
        <w:t xml:space="preserve">Discernment as a mutual process can work for conflict resolution if there is a sense of connection and mutual commitment or willingness to work things out.  It does not even have to be polite, and can still </w:t>
      </w:r>
      <w:r w:rsidR="00142C57">
        <w:t>keep being renewed even</w:t>
      </w:r>
      <w:r>
        <w:t xml:space="preserve"> if harm has taken place, but does need to be based in a regard for the other person’s individuality and needs having value as well as one’s own.  It is a process of seeking the truth of an interaction, the truth of who we are to one another and how the relationship can work or end.  </w:t>
      </w:r>
    </w:p>
    <w:p w14:paraId="14A08AF8" w14:textId="6DFFFEF8" w:rsidR="0067709A" w:rsidRDefault="0067709A"/>
    <w:p w14:paraId="10E556C0" w14:textId="41BB6EFC" w:rsidR="0067709A" w:rsidRDefault="0067709A">
      <w:r>
        <w:lastRenderedPageBreak/>
        <w:t xml:space="preserve">Discernment can also be relevant to situations where the mind might be working very hard to find a way out; when we might be reacting </w:t>
      </w:r>
      <w:r w:rsidR="007755CD">
        <w:t xml:space="preserve">strongly and making things more difficult for ourselves.  Our friends might want to express concern and give us their perspectives – that can be helpful if they and we ourselves understand that it is our process of discernment and their perspectives are advisory – not a truth of ‘consensual normality’ that we should try to adhere to, but something for us to consider in our own worldview.  </w:t>
      </w:r>
    </w:p>
    <w:p w14:paraId="4E9D946F" w14:textId="0E544CD4" w:rsidR="007755CD" w:rsidRDefault="007755CD"/>
    <w:p w14:paraId="3C296963" w14:textId="21151751" w:rsidR="0083033C" w:rsidRDefault="007755CD">
      <w:r>
        <w:t xml:space="preserve">The understanding of discernment as a process, not a pre-condition, helps to complete the paradigm shift in legal capacity from substitute decision-making to supported decision-making regimes, which respect the person’s autonomy, will and preferences at all stages including the </w:t>
      </w:r>
      <w:r w:rsidR="00142C57">
        <w:t xml:space="preserve">decision about </w:t>
      </w:r>
      <w:r>
        <w:t>whether or not to use support.  Discernment is especially invoked against people with psychosocial disabilities and people with cognitive disabilities in pre-CRPD legal capacity regimes, to de</w:t>
      </w:r>
      <w:r w:rsidR="00142C57">
        <w:t>prive</w:t>
      </w:r>
      <w:r>
        <w:t xml:space="preserve"> </w:t>
      </w:r>
      <w:r w:rsidR="00142C57">
        <w:t>us of</w:t>
      </w:r>
      <w:r>
        <w:t xml:space="preserve"> legal capacity based on others’ judgment of our faculty of judgment as well as our faculty of cognition.  For people with psychosocial disabilities in particular, cognition is often not in question, and even the supposed criterion of rationality or linearity in decision-making is not really what is at issue – highly activated rationality can be just as likely to result in a mental illness label as highly active intuition or feeling (think of the ‘paranoia’ or ‘obsessive-compulsive’ labels).  It is really our faculty of </w:t>
      </w:r>
      <w:r w:rsidR="0083033C">
        <w:t>judgment or discernment – sifting through, parsing, judging, comparing, a critical faculty that itself can become imbalanced if over-emphasized</w:t>
      </w:r>
      <w:r w:rsidR="00142C57">
        <w:t xml:space="preserve"> </w:t>
      </w:r>
      <w:r w:rsidR="0083033C">
        <w:t>–</w:t>
      </w:r>
      <w:r w:rsidR="00142C57">
        <w:t xml:space="preserve"> </w:t>
      </w:r>
      <w:r w:rsidR="0083033C">
        <w:t>that is put into question, and this</w:t>
      </w:r>
      <w:r w:rsidR="00142C57">
        <w:t xml:space="preserve"> questioning</w:t>
      </w:r>
      <w:r w:rsidR="005C1126">
        <w:t xml:space="preserve"> of our discernment</w:t>
      </w:r>
      <w:r w:rsidR="0083033C">
        <w:t xml:space="preserve"> (also referred to as ‘lack of insight’ in mental health jargon) is the essence of meta-judgment leveled against us that constitutes ‘madness’ or ‘mental illness’ as a social construct. </w:t>
      </w:r>
      <w:r>
        <w:t xml:space="preserve"> </w:t>
      </w:r>
    </w:p>
    <w:p w14:paraId="33F80EA2" w14:textId="77777777" w:rsidR="0083033C" w:rsidRDefault="0083033C"/>
    <w:p w14:paraId="0954CFBC" w14:textId="0E9416D3" w:rsidR="00A5000E" w:rsidRDefault="0083033C" w:rsidP="00B91696">
      <w:r>
        <w:t xml:space="preserve">For this reason, understanding discernment as a process is of value both for the general </w:t>
      </w:r>
      <w:r w:rsidR="0088555F">
        <w:t xml:space="preserve">application of the </w:t>
      </w:r>
      <w:r>
        <w:t xml:space="preserve">paradigm shift on legal capacity to people with psychosocial disabilities and people with cognitive disabilities (e.g. ensuring our right to decision-making </w:t>
      </w:r>
      <w:r w:rsidR="005C1126">
        <w:t>and providing</w:t>
      </w:r>
      <w:r>
        <w:t xml:space="preserve"> access to </w:t>
      </w:r>
      <w:r w:rsidR="005C1126">
        <w:t xml:space="preserve">meaningful </w:t>
      </w:r>
      <w:r>
        <w:t xml:space="preserve">support and accommodations in relation to </w:t>
      </w:r>
      <w:r w:rsidR="005C1126">
        <w:t>legal proceedings, financial transactions, other legal acts or life decisions or everyday decisions</w:t>
      </w:r>
      <w:r>
        <w:t xml:space="preserve">), and </w:t>
      </w:r>
      <w:r w:rsidR="0088555F">
        <w:t>for</w:t>
      </w:r>
      <w:r>
        <w:t xml:space="preserve"> the shift I propose in my Positive Policy paper</w:t>
      </w:r>
      <w:r w:rsidR="00CC61F9">
        <w:rPr>
          <w:rStyle w:val="FootnoteReference"/>
        </w:rPr>
        <w:footnoteReference w:id="1"/>
      </w:r>
      <w:r>
        <w:t>, which posits that mental health crisis itself should be reframed as an occasion for supported decision-making</w:t>
      </w:r>
      <w:r w:rsidR="0088555F">
        <w:t xml:space="preserve"> (similarly, ongoing mental health challenges can be so reframed), </w:t>
      </w:r>
      <w:r w:rsidR="00276495">
        <w:t>to replace the substitute decision-making paradigm of forced psychiatry</w:t>
      </w:r>
      <w:r>
        <w:t xml:space="preserve">.  </w:t>
      </w:r>
      <w:r w:rsidR="00A5000E">
        <w:t xml:space="preserve">In particular, discernment as a deliberate paying attention or turning away from disturbing thoughts or emotions, allowing them to manifest to consciousness and allowing them to develop and change, is not what we lack that presumptively sane people have, it is a dimension of selfhood that we can deepen and cultivate (or become aware of, or trust to exist) in exactly those circumstances when it is most needed.   </w:t>
      </w:r>
    </w:p>
    <w:p w14:paraId="623C44F6" w14:textId="23F02EF0" w:rsidR="00A5000E" w:rsidRDefault="00A5000E" w:rsidP="00B91696"/>
    <w:p w14:paraId="10EA4CBD" w14:textId="79BFD7D4" w:rsidR="009E2E4E" w:rsidRDefault="009E2E4E" w:rsidP="00B91696">
      <w:r>
        <w:t>Discernment as a process is congruent with legal capacity as agency.  It is the inward dimension of coming to a decision, as agency is the outward manifestation.  Just as we respect agency and aim to support it, discernment too has to be respected and supported.</w:t>
      </w:r>
    </w:p>
    <w:p w14:paraId="0ACBC1DE" w14:textId="6A46264E" w:rsidR="00B91696" w:rsidRDefault="00B91696">
      <w:bookmarkStart w:id="0" w:name="_GoBack"/>
      <w:bookmarkEnd w:id="0"/>
    </w:p>
    <w:p w14:paraId="20387F5D" w14:textId="70B1FFF1" w:rsidR="00CC61F9" w:rsidRDefault="00CC61F9">
      <w:r>
        <w:t>© Tina Minkowitz 2019</w:t>
      </w:r>
    </w:p>
    <w:sectPr w:rsidR="00CC61F9" w:rsidSect="004D7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05AEF" w14:textId="77777777" w:rsidR="00BE7E33" w:rsidRDefault="00BE7E33" w:rsidP="00CC61F9">
      <w:r>
        <w:separator/>
      </w:r>
    </w:p>
  </w:endnote>
  <w:endnote w:type="continuationSeparator" w:id="0">
    <w:p w14:paraId="461D2BB8" w14:textId="77777777" w:rsidR="00BE7E33" w:rsidRDefault="00BE7E33" w:rsidP="00CC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D23F" w14:textId="77777777" w:rsidR="00BE7E33" w:rsidRDefault="00BE7E33" w:rsidP="00CC61F9">
      <w:r>
        <w:separator/>
      </w:r>
    </w:p>
  </w:footnote>
  <w:footnote w:type="continuationSeparator" w:id="0">
    <w:p w14:paraId="3518B054" w14:textId="77777777" w:rsidR="00BE7E33" w:rsidRDefault="00BE7E33" w:rsidP="00CC61F9">
      <w:r>
        <w:continuationSeparator/>
      </w:r>
    </w:p>
  </w:footnote>
  <w:footnote w:id="1">
    <w:p w14:paraId="3CE3CD39" w14:textId="00E07228" w:rsidR="00CC61F9" w:rsidRDefault="00CC61F9">
      <w:pPr>
        <w:pStyle w:val="FootnoteText"/>
      </w:pPr>
      <w:r>
        <w:rPr>
          <w:rStyle w:val="FootnoteReference"/>
        </w:rPr>
        <w:footnoteRef/>
      </w:r>
      <w:r>
        <w:t xml:space="preserve"> </w:t>
      </w:r>
      <w:hyperlink r:id="rId1" w:history="1">
        <w:r w:rsidRPr="00795FF1">
          <w:rPr>
            <w:rStyle w:val="Hyperlink"/>
          </w:rPr>
          <w:t>https://www.academia.edu/39229717/Positive_policy_to_replace_forced_psychiatry_based_on_CRPD</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47"/>
    <w:rsid w:val="00142C57"/>
    <w:rsid w:val="00213171"/>
    <w:rsid w:val="002272B4"/>
    <w:rsid w:val="00276495"/>
    <w:rsid w:val="00331E51"/>
    <w:rsid w:val="00395AF1"/>
    <w:rsid w:val="00441DE1"/>
    <w:rsid w:val="004568F0"/>
    <w:rsid w:val="004D7998"/>
    <w:rsid w:val="005C1126"/>
    <w:rsid w:val="005E379D"/>
    <w:rsid w:val="0067709A"/>
    <w:rsid w:val="00694947"/>
    <w:rsid w:val="006C14F9"/>
    <w:rsid w:val="00740CF2"/>
    <w:rsid w:val="007719E5"/>
    <w:rsid w:val="007755CD"/>
    <w:rsid w:val="0083033C"/>
    <w:rsid w:val="00853A04"/>
    <w:rsid w:val="0087691B"/>
    <w:rsid w:val="0088555F"/>
    <w:rsid w:val="00924DB8"/>
    <w:rsid w:val="00941E07"/>
    <w:rsid w:val="009D72AB"/>
    <w:rsid w:val="009E2E4E"/>
    <w:rsid w:val="00A23160"/>
    <w:rsid w:val="00A5000E"/>
    <w:rsid w:val="00B91696"/>
    <w:rsid w:val="00BE7E33"/>
    <w:rsid w:val="00CC61F9"/>
    <w:rsid w:val="00D40067"/>
    <w:rsid w:val="00ED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B05CB9"/>
  <w15:chartTrackingRefBased/>
  <w15:docId w15:val="{1A5E3179-9461-374D-B565-577F69AC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61F9"/>
    <w:rPr>
      <w:sz w:val="20"/>
      <w:szCs w:val="20"/>
    </w:rPr>
  </w:style>
  <w:style w:type="character" w:customStyle="1" w:styleId="FootnoteTextChar">
    <w:name w:val="Footnote Text Char"/>
    <w:basedOn w:val="DefaultParagraphFont"/>
    <w:link w:val="FootnoteText"/>
    <w:uiPriority w:val="99"/>
    <w:semiHidden/>
    <w:rsid w:val="00CC61F9"/>
    <w:rPr>
      <w:sz w:val="20"/>
      <w:szCs w:val="20"/>
    </w:rPr>
  </w:style>
  <w:style w:type="character" w:styleId="FootnoteReference">
    <w:name w:val="footnote reference"/>
    <w:basedOn w:val="DefaultParagraphFont"/>
    <w:uiPriority w:val="99"/>
    <w:semiHidden/>
    <w:unhideWhenUsed/>
    <w:rsid w:val="00CC61F9"/>
    <w:rPr>
      <w:vertAlign w:val="superscript"/>
    </w:rPr>
  </w:style>
  <w:style w:type="character" w:styleId="Hyperlink">
    <w:name w:val="Hyperlink"/>
    <w:basedOn w:val="DefaultParagraphFont"/>
    <w:uiPriority w:val="99"/>
    <w:unhideWhenUsed/>
    <w:rsid w:val="00CC61F9"/>
    <w:rPr>
      <w:color w:val="0563C1" w:themeColor="hyperlink"/>
      <w:u w:val="single"/>
    </w:rPr>
  </w:style>
  <w:style w:type="character" w:styleId="UnresolvedMention">
    <w:name w:val="Unresolved Mention"/>
    <w:basedOn w:val="DefaultParagraphFont"/>
    <w:uiPriority w:val="99"/>
    <w:semiHidden/>
    <w:unhideWhenUsed/>
    <w:rsid w:val="00CC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ia.edu/39229717/Positive_policy_to_replace_forced_psychiatry_based_on_CR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5726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2019-05-26T23:54:00Z</dcterms:created>
  <dcterms:modified xsi:type="dcterms:W3CDTF">2019-05-26T23:54:00Z</dcterms:modified>
</cp:coreProperties>
</file>