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383F" w14:textId="77777777" w:rsidR="006C5C48" w:rsidRPr="006C5C48" w:rsidRDefault="006C5C48" w:rsidP="001977BF">
      <w:pPr>
        <w:jc w:val="center"/>
        <w:rPr>
          <w:b/>
          <w:smallCaps/>
          <w:u w:val="single"/>
        </w:rPr>
      </w:pPr>
    </w:p>
    <w:p w14:paraId="19D30AAB" w14:textId="1B2FEEDE" w:rsidR="002C2BB2" w:rsidRPr="006C5C48" w:rsidRDefault="001977BF" w:rsidP="001977BF">
      <w:pPr>
        <w:jc w:val="center"/>
        <w:rPr>
          <w:b/>
          <w:smallCaps/>
          <w:u w:val="single"/>
        </w:rPr>
      </w:pPr>
      <w:r w:rsidRPr="006C5C48">
        <w:rPr>
          <w:b/>
          <w:smallCaps/>
          <w:u w:val="single"/>
        </w:rPr>
        <w:t>Nonconsensual Medical Intervention in Immigration Detention</w:t>
      </w:r>
      <w:r w:rsidR="006C5C48" w:rsidRPr="006C5C48">
        <w:rPr>
          <w:b/>
          <w:smallCaps/>
          <w:u w:val="single"/>
        </w:rPr>
        <w:t xml:space="preserve"> in the United States</w:t>
      </w:r>
    </w:p>
    <w:p w14:paraId="1E030FBC" w14:textId="77777777" w:rsidR="006C5C48" w:rsidRDefault="006C5C48" w:rsidP="001977BF">
      <w:pPr>
        <w:jc w:val="center"/>
        <w:rPr>
          <w:b/>
        </w:rPr>
      </w:pPr>
    </w:p>
    <w:p w14:paraId="13B0E4A3" w14:textId="77777777" w:rsidR="002278F1" w:rsidRDefault="002278F1" w:rsidP="001977BF">
      <w:pPr>
        <w:jc w:val="center"/>
        <w:rPr>
          <w:b/>
        </w:rPr>
      </w:pPr>
    </w:p>
    <w:p w14:paraId="15E8B336" w14:textId="18EB82BB" w:rsidR="006C5C48" w:rsidRPr="006C5C48" w:rsidRDefault="006C5C48" w:rsidP="001977BF">
      <w:pPr>
        <w:jc w:val="center"/>
        <w:rPr>
          <w:b/>
        </w:rPr>
      </w:pPr>
      <w:r w:rsidRPr="006C5C48">
        <w:rPr>
          <w:b/>
        </w:rPr>
        <w:t>Sarbani Mukherjee</w:t>
      </w:r>
    </w:p>
    <w:p w14:paraId="504D09D4" w14:textId="249F7160" w:rsidR="001977BF" w:rsidRDefault="006C5C48" w:rsidP="001977BF">
      <w:pPr>
        <w:jc w:val="center"/>
      </w:pPr>
      <w:r>
        <w:t>Edited by Meghan Tribe</w:t>
      </w:r>
    </w:p>
    <w:p w14:paraId="102989FD" w14:textId="407B9DBD" w:rsidR="006C5C48" w:rsidRDefault="006C5C48" w:rsidP="001977BF">
      <w:pPr>
        <w:jc w:val="center"/>
      </w:pPr>
      <w:r>
        <w:t>The John Marshall Law School Human Rights Project</w:t>
      </w:r>
    </w:p>
    <w:p w14:paraId="13CD27C6" w14:textId="1A91B853" w:rsidR="006C5C48" w:rsidRDefault="006C5C48" w:rsidP="001977BF">
      <w:pPr>
        <w:jc w:val="center"/>
      </w:pPr>
      <w:r>
        <w:t xml:space="preserve">Prof. Sarah </w:t>
      </w:r>
      <w:proofErr w:type="spellStart"/>
      <w:r>
        <w:t>Dávila-Ruhaak</w:t>
      </w:r>
      <w:proofErr w:type="spellEnd"/>
    </w:p>
    <w:p w14:paraId="367EDD56" w14:textId="77777777" w:rsidR="001977BF" w:rsidRDefault="001977BF" w:rsidP="001977BF"/>
    <w:p w14:paraId="3BFE057B" w14:textId="728BD3B8" w:rsidR="00525614" w:rsidRDefault="00525614" w:rsidP="00DD457F">
      <w:pPr>
        <w:ind w:firstLine="720"/>
      </w:pPr>
      <w:r>
        <w:rPr>
          <w:rFonts w:ascii="Times New Roman" w:eastAsia="Times New Roman" w:hAnsi="Times New Roman" w:cs="Times New Roman"/>
          <w:bCs/>
        </w:rPr>
        <w:t>In the American Bar Association’s Civil Immigration and Detention Standards publication, which was adopted by the ABA House of Delegates as recently as 2012, it clarifies that the immigration detention system exists, “by law”, as a civil system and that immigration detention “serves to ensure court appearances and effect rem</w:t>
      </w:r>
      <w:bookmarkStart w:id="0" w:name="_GoBack"/>
      <w:bookmarkEnd w:id="0"/>
      <w:r>
        <w:rPr>
          <w:rFonts w:ascii="Times New Roman" w:eastAsia="Times New Roman" w:hAnsi="Times New Roman" w:cs="Times New Roman"/>
          <w:bCs/>
        </w:rPr>
        <w:t>oval […] It is not intended to serve a punitive purpose.”</w:t>
      </w:r>
      <w:r>
        <w:rPr>
          <w:rStyle w:val="FootnoteReference"/>
          <w:rFonts w:ascii="Times New Roman" w:eastAsia="Times New Roman" w:hAnsi="Times New Roman" w:cs="Times New Roman"/>
          <w:bCs/>
        </w:rPr>
        <w:footnoteReference w:id="1"/>
      </w:r>
      <w:r w:rsidR="00006C5F">
        <w:rPr>
          <w:rFonts w:ascii="Times New Roman" w:eastAsia="Times New Roman" w:hAnsi="Times New Roman" w:cs="Times New Roman"/>
          <w:bCs/>
        </w:rPr>
        <w:t xml:space="preserve"> Furthermore, not only do domestic laws support this principle, but sources of international human rights law also reinforce the necessity of a civil framework for immigration detention.  </w:t>
      </w:r>
      <w:r w:rsidR="006B6922">
        <w:rPr>
          <w:rFonts w:ascii="Times New Roman" w:eastAsia="Times New Roman" w:hAnsi="Times New Roman" w:cs="Times New Roman"/>
          <w:bCs/>
        </w:rPr>
        <w:t xml:space="preserve">However, despite the fact that legal authority establishes a civil model, the existing model of immigration detention functions like a criminal system.  </w:t>
      </w:r>
      <w:r w:rsidR="006C5C48">
        <w:rPr>
          <w:rFonts w:ascii="Times New Roman" w:eastAsia="Times New Roman" w:hAnsi="Times New Roman" w:cs="Times New Roman"/>
          <w:bCs/>
        </w:rPr>
        <w:t>This article discusses</w:t>
      </w:r>
      <w:r w:rsidR="00006C5F">
        <w:rPr>
          <w:rFonts w:ascii="Times New Roman" w:eastAsia="Times New Roman" w:hAnsi="Times New Roman" w:cs="Times New Roman"/>
          <w:bCs/>
        </w:rPr>
        <w:t xml:space="preserve"> the quality of medical care in immigration detention in the United States as well as the use of separation </w:t>
      </w:r>
      <w:r w:rsidR="00647F35">
        <w:rPr>
          <w:rFonts w:ascii="Times New Roman" w:eastAsia="Times New Roman" w:hAnsi="Times New Roman" w:cs="Times New Roman"/>
          <w:bCs/>
        </w:rPr>
        <w:t>and isolation on immigrant detainees with mental disabilities.  Domestic and International law</w:t>
      </w:r>
      <w:r w:rsidR="006B6922">
        <w:rPr>
          <w:rFonts w:ascii="Times New Roman" w:eastAsia="Times New Roman" w:hAnsi="Times New Roman" w:cs="Times New Roman"/>
          <w:bCs/>
        </w:rPr>
        <w:t>s pertaining to adequate medical care and solitary confinement</w:t>
      </w:r>
      <w:r w:rsidR="00647F35">
        <w:rPr>
          <w:rFonts w:ascii="Times New Roman" w:eastAsia="Times New Roman" w:hAnsi="Times New Roman" w:cs="Times New Roman"/>
          <w:bCs/>
        </w:rPr>
        <w:t xml:space="preserve"> will be discussed followed by an explanation of how current practices within immigration detention are unlawful and violate </w:t>
      </w:r>
      <w:r w:rsidR="006B6922">
        <w:rPr>
          <w:rFonts w:ascii="Times New Roman" w:eastAsia="Times New Roman" w:hAnsi="Times New Roman" w:cs="Times New Roman"/>
          <w:bCs/>
        </w:rPr>
        <w:t xml:space="preserve">the </w:t>
      </w:r>
      <w:r w:rsidR="00647F35">
        <w:rPr>
          <w:rFonts w:ascii="Times New Roman" w:eastAsia="Times New Roman" w:hAnsi="Times New Roman" w:cs="Times New Roman"/>
          <w:bCs/>
        </w:rPr>
        <w:t>human rights</w:t>
      </w:r>
      <w:r w:rsidR="006B6922">
        <w:rPr>
          <w:rFonts w:ascii="Times New Roman" w:eastAsia="Times New Roman" w:hAnsi="Times New Roman" w:cs="Times New Roman"/>
          <w:bCs/>
        </w:rPr>
        <w:t xml:space="preserve"> of detainees</w:t>
      </w:r>
      <w:r w:rsidR="00647F35">
        <w:rPr>
          <w:rFonts w:ascii="Times New Roman" w:eastAsia="Times New Roman" w:hAnsi="Times New Roman" w:cs="Times New Roman"/>
          <w:bCs/>
        </w:rPr>
        <w:t xml:space="preserve">. </w:t>
      </w:r>
    </w:p>
    <w:p w14:paraId="1B252657" w14:textId="77777777" w:rsidR="001977BF" w:rsidRPr="008D24B6" w:rsidRDefault="000C6DE8" w:rsidP="008D24B6">
      <w:pPr>
        <w:spacing w:before="100" w:beforeAutospacing="1" w:after="100" w:afterAutospacing="1"/>
        <w:jc w:val="center"/>
        <w:outlineLvl w:val="2"/>
        <w:rPr>
          <w:rFonts w:ascii="Times New Roman" w:eastAsia="Times New Roman" w:hAnsi="Times New Roman" w:cs="Times New Roman"/>
          <w:b/>
          <w:bCs/>
        </w:rPr>
      </w:pPr>
      <w:r>
        <w:rPr>
          <w:rFonts w:ascii="Times New Roman" w:eastAsia="Times New Roman" w:hAnsi="Times New Roman" w:cs="Times New Roman"/>
          <w:b/>
          <w:bCs/>
        </w:rPr>
        <w:t>Poor Quality and Lack of Medical Resources in Immigration D</w:t>
      </w:r>
      <w:r w:rsidR="001977BF" w:rsidRPr="008D24B6">
        <w:rPr>
          <w:rFonts w:ascii="Times New Roman" w:eastAsia="Times New Roman" w:hAnsi="Times New Roman" w:cs="Times New Roman"/>
          <w:b/>
          <w:bCs/>
        </w:rPr>
        <w:t>etention</w:t>
      </w:r>
    </w:p>
    <w:p w14:paraId="5BD04063" w14:textId="6D122882" w:rsidR="00A0721B" w:rsidRDefault="000C6DE8" w:rsidP="006B6922">
      <w:pPr>
        <w:spacing w:before="100" w:beforeAutospacing="1" w:after="100" w:afterAutospacing="1"/>
        <w:ind w:firstLine="720"/>
        <w:outlineLvl w:val="2"/>
        <w:rPr>
          <w:rFonts w:ascii="Times New Roman" w:eastAsia="Times New Roman" w:hAnsi="Times New Roman" w:cs="Times New Roman"/>
          <w:bCs/>
        </w:rPr>
      </w:pPr>
      <w:r w:rsidRPr="00EB07D0">
        <w:rPr>
          <w:rFonts w:ascii="Times New Roman" w:eastAsia="Times New Roman" w:hAnsi="Times New Roman" w:cs="Times New Roman"/>
          <w:bCs/>
        </w:rPr>
        <w:t>Within the existing system of immigration detention, t</w:t>
      </w:r>
      <w:r w:rsidR="008D24B6" w:rsidRPr="00EB07D0">
        <w:rPr>
          <w:rFonts w:ascii="Times New Roman" w:eastAsia="Times New Roman" w:hAnsi="Times New Roman" w:cs="Times New Roman"/>
          <w:bCs/>
        </w:rPr>
        <w:t xml:space="preserve">he medical care given to immigrant detainees is </w:t>
      </w:r>
      <w:r w:rsidRPr="00EB07D0">
        <w:rPr>
          <w:rFonts w:ascii="Times New Roman" w:eastAsia="Times New Roman" w:hAnsi="Times New Roman" w:cs="Times New Roman"/>
          <w:bCs/>
        </w:rPr>
        <w:t xml:space="preserve">grossly inadequate. </w:t>
      </w:r>
      <w:r w:rsidR="008D24B6" w:rsidRPr="00EB07D0">
        <w:rPr>
          <w:rFonts w:ascii="Times New Roman" w:eastAsia="Times New Roman" w:hAnsi="Times New Roman" w:cs="Times New Roman"/>
          <w:bCs/>
        </w:rPr>
        <w:t xml:space="preserve"> </w:t>
      </w:r>
      <w:r w:rsidRPr="00EB07D0">
        <w:rPr>
          <w:rFonts w:ascii="Times New Roman" w:eastAsia="Times New Roman" w:hAnsi="Times New Roman" w:cs="Times New Roman"/>
          <w:bCs/>
        </w:rPr>
        <w:t>Most reports evaluating immigration detention centers throughout the country document numerous incidents and complaints of detainees involving the poor quality and lack of medical resources.</w:t>
      </w:r>
      <w:r w:rsidR="00EB07D0" w:rsidRPr="00EB07D0">
        <w:rPr>
          <w:rFonts w:ascii="Times New Roman" w:eastAsia="Times New Roman" w:hAnsi="Times New Roman" w:cs="Times New Roman"/>
          <w:bCs/>
        </w:rPr>
        <w:t xml:space="preserve">  </w:t>
      </w:r>
      <w:r w:rsidR="00DB12FE">
        <w:rPr>
          <w:rFonts w:ascii="Times New Roman" w:eastAsia="Times New Roman" w:hAnsi="Times New Roman" w:cs="Times New Roman"/>
          <w:bCs/>
        </w:rPr>
        <w:t>In the context of immigration detention healthcare conditions, it i</w:t>
      </w:r>
      <w:r w:rsidR="00DB73E6">
        <w:rPr>
          <w:rFonts w:ascii="Times New Roman" w:eastAsia="Times New Roman" w:hAnsi="Times New Roman" w:cs="Times New Roman"/>
          <w:bCs/>
        </w:rPr>
        <w:t>s important to note the inclusion</w:t>
      </w:r>
      <w:r w:rsidR="00DB12FE">
        <w:rPr>
          <w:rFonts w:ascii="Times New Roman" w:eastAsia="Times New Roman" w:hAnsi="Times New Roman" w:cs="Times New Roman"/>
          <w:bCs/>
        </w:rPr>
        <w:t xml:space="preserve"> of detainees with mental</w:t>
      </w:r>
      <w:r w:rsidR="00DB73E6">
        <w:rPr>
          <w:rFonts w:ascii="Times New Roman" w:eastAsia="Times New Roman" w:hAnsi="Times New Roman" w:cs="Times New Roman"/>
          <w:bCs/>
        </w:rPr>
        <w:t xml:space="preserve"> disabilities within the detention system.  Members of this vulnerable population are also subjected to the deplorable condition</w:t>
      </w:r>
      <w:r w:rsidR="006A2713">
        <w:rPr>
          <w:rFonts w:ascii="Times New Roman" w:eastAsia="Times New Roman" w:hAnsi="Times New Roman" w:cs="Times New Roman"/>
          <w:bCs/>
        </w:rPr>
        <w:t xml:space="preserve">s of immigration detention.  Moreover, the Americans with Disabilities Act, which serves to protect the rights of those individuals with disabilities in numerous settings including the administration of healthcare, does not </w:t>
      </w:r>
      <w:proofErr w:type="gramStart"/>
      <w:r w:rsidR="006A2713">
        <w:rPr>
          <w:rFonts w:ascii="Times New Roman" w:eastAsia="Times New Roman" w:hAnsi="Times New Roman" w:cs="Times New Roman"/>
          <w:bCs/>
        </w:rPr>
        <w:t>expressly</w:t>
      </w:r>
      <w:proofErr w:type="gramEnd"/>
      <w:r w:rsidR="006A2713">
        <w:rPr>
          <w:rFonts w:ascii="Times New Roman" w:eastAsia="Times New Roman" w:hAnsi="Times New Roman" w:cs="Times New Roman"/>
          <w:bCs/>
        </w:rPr>
        <w:t xml:space="preserve"> include </w:t>
      </w:r>
      <w:r w:rsidR="00CB7E87">
        <w:rPr>
          <w:rFonts w:ascii="Times New Roman" w:eastAsia="Times New Roman" w:hAnsi="Times New Roman" w:cs="Times New Roman"/>
          <w:bCs/>
        </w:rPr>
        <w:t>the immigration detention population.</w:t>
      </w:r>
      <w:r w:rsidR="00CB7E87">
        <w:rPr>
          <w:rStyle w:val="FootnoteReference"/>
          <w:rFonts w:ascii="Times New Roman" w:eastAsia="Times New Roman" w:hAnsi="Times New Roman" w:cs="Times New Roman"/>
          <w:bCs/>
        </w:rPr>
        <w:footnoteReference w:id="2"/>
      </w:r>
      <w:r w:rsidR="00CB7E87">
        <w:rPr>
          <w:rFonts w:ascii="Times New Roman" w:eastAsia="Times New Roman" w:hAnsi="Times New Roman" w:cs="Times New Roman"/>
          <w:bCs/>
        </w:rPr>
        <w:t xml:space="preserve">  A</w:t>
      </w:r>
      <w:r w:rsidR="006A2713">
        <w:rPr>
          <w:rFonts w:ascii="Times New Roman" w:eastAsia="Times New Roman" w:hAnsi="Times New Roman" w:cs="Times New Roman"/>
          <w:bCs/>
        </w:rPr>
        <w:t>ccording to the American Civil Liberties Union (ACLU)</w:t>
      </w:r>
      <w:r w:rsidR="00CB7E87">
        <w:rPr>
          <w:rFonts w:ascii="Times New Roman" w:eastAsia="Times New Roman" w:hAnsi="Times New Roman" w:cs="Times New Roman"/>
          <w:bCs/>
        </w:rPr>
        <w:t>,</w:t>
      </w:r>
      <w:r w:rsidR="006A2713">
        <w:rPr>
          <w:rFonts w:ascii="Times New Roman" w:eastAsia="Times New Roman" w:hAnsi="Times New Roman" w:cs="Times New Roman"/>
          <w:bCs/>
        </w:rPr>
        <w:t xml:space="preserve"> “[T]he U.S. has yet to provide similar substantive protections through U.S. constitutional law and international human rights standards</w:t>
      </w:r>
      <w:r w:rsidR="00CB7E87">
        <w:rPr>
          <w:rFonts w:ascii="Times New Roman" w:eastAsia="Times New Roman" w:hAnsi="Times New Roman" w:cs="Times New Roman"/>
          <w:bCs/>
        </w:rPr>
        <w:t xml:space="preserve"> [in the immigration sphere].</w:t>
      </w:r>
      <w:r w:rsidR="006A2713">
        <w:rPr>
          <w:rFonts w:ascii="Times New Roman" w:eastAsia="Times New Roman" w:hAnsi="Times New Roman" w:cs="Times New Roman"/>
          <w:bCs/>
        </w:rPr>
        <w:t>”</w:t>
      </w:r>
      <w:r w:rsidR="00CB7E87">
        <w:rPr>
          <w:rStyle w:val="FootnoteReference"/>
          <w:rFonts w:ascii="Times New Roman" w:eastAsia="Times New Roman" w:hAnsi="Times New Roman" w:cs="Times New Roman"/>
          <w:bCs/>
        </w:rPr>
        <w:footnoteReference w:id="3"/>
      </w:r>
    </w:p>
    <w:p w14:paraId="5F42FDE4" w14:textId="77777777" w:rsidR="00D075F3" w:rsidRPr="00D075F3" w:rsidRDefault="00D075F3" w:rsidP="00D075F3">
      <w:pPr>
        <w:spacing w:before="100" w:beforeAutospacing="1" w:after="100" w:afterAutospacing="1"/>
        <w:ind w:firstLine="720"/>
        <w:jc w:val="center"/>
        <w:outlineLvl w:val="2"/>
        <w:rPr>
          <w:rFonts w:ascii="Times New Roman" w:eastAsia="Times New Roman" w:hAnsi="Times New Roman" w:cs="Times New Roman"/>
          <w:bCs/>
          <w:u w:val="single"/>
        </w:rPr>
      </w:pPr>
      <w:r w:rsidRPr="00D075F3">
        <w:rPr>
          <w:rFonts w:ascii="Times New Roman" w:eastAsia="Times New Roman" w:hAnsi="Times New Roman" w:cs="Times New Roman"/>
          <w:bCs/>
          <w:u w:val="single"/>
        </w:rPr>
        <w:lastRenderedPageBreak/>
        <w:t>Domestic Standards</w:t>
      </w:r>
    </w:p>
    <w:p w14:paraId="78D5AF0F" w14:textId="52FD0FD4" w:rsidR="000C6DE8" w:rsidRDefault="00EB07D0" w:rsidP="006B6922">
      <w:pPr>
        <w:spacing w:before="100" w:beforeAutospacing="1" w:after="100" w:afterAutospacing="1"/>
        <w:ind w:firstLine="720"/>
        <w:outlineLvl w:val="2"/>
        <w:rPr>
          <w:rFonts w:ascii="Times New Roman" w:eastAsia="Times New Roman" w:hAnsi="Times New Roman" w:cs="Times New Roman"/>
          <w:bCs/>
        </w:rPr>
      </w:pPr>
      <w:r w:rsidRPr="00EB07D0">
        <w:rPr>
          <w:rFonts w:ascii="Times New Roman" w:eastAsia="Times New Roman" w:hAnsi="Times New Roman" w:cs="Times New Roman"/>
          <w:bCs/>
        </w:rPr>
        <w:t>The 2011 Operations Manual Immigration and Customs Enforcement (ICE) Performance Based National Detention Standards (PBNDS)</w:t>
      </w:r>
      <w:r w:rsidR="00C63292">
        <w:rPr>
          <w:rFonts w:ascii="Times New Roman" w:eastAsia="Times New Roman" w:hAnsi="Times New Roman" w:cs="Times New Roman"/>
          <w:bCs/>
        </w:rPr>
        <w:t>,</w:t>
      </w:r>
      <w:r w:rsidRPr="00EB07D0">
        <w:rPr>
          <w:rFonts w:ascii="Times New Roman" w:eastAsia="Times New Roman" w:hAnsi="Times New Roman" w:cs="Times New Roman"/>
          <w:bCs/>
        </w:rPr>
        <w:t xml:space="preserve"> claims to further the improvement of medical </w:t>
      </w:r>
      <w:r w:rsidR="00C63292">
        <w:rPr>
          <w:rFonts w:ascii="Times New Roman" w:eastAsia="Times New Roman" w:hAnsi="Times New Roman" w:cs="Times New Roman"/>
          <w:bCs/>
        </w:rPr>
        <w:t>and mental health services along with</w:t>
      </w:r>
      <w:r w:rsidRPr="00EB07D0">
        <w:rPr>
          <w:rFonts w:ascii="Times New Roman" w:eastAsia="Times New Roman" w:hAnsi="Times New Roman" w:cs="Times New Roman"/>
          <w:bCs/>
        </w:rPr>
        <w:t xml:space="preserve"> other considerations in the immigration detention reform movement.</w:t>
      </w:r>
      <w:r>
        <w:rPr>
          <w:rStyle w:val="FootnoteReference"/>
          <w:rFonts w:ascii="Times New Roman" w:eastAsia="Times New Roman" w:hAnsi="Times New Roman" w:cs="Times New Roman"/>
          <w:bCs/>
        </w:rPr>
        <w:footnoteReference w:id="4"/>
      </w:r>
      <w:r w:rsidRPr="00EB07D0">
        <w:rPr>
          <w:rFonts w:ascii="Times New Roman" w:eastAsia="Times New Roman" w:hAnsi="Times New Roman" w:cs="Times New Roman"/>
          <w:bCs/>
        </w:rPr>
        <w:t xml:space="preserve">  Section 4.3 of the manual relates to medical care of immigrant detainees and provides a “detention standard” that “ensures that detainees have access to appropriate and necessary medical, dental and mental health care, including emergency services.”</w:t>
      </w:r>
      <w:r>
        <w:rPr>
          <w:rStyle w:val="FootnoteReference"/>
          <w:rFonts w:ascii="Times New Roman" w:eastAsia="Times New Roman" w:hAnsi="Times New Roman" w:cs="Times New Roman"/>
          <w:bCs/>
        </w:rPr>
        <w:footnoteReference w:id="5"/>
      </w:r>
      <w:r w:rsidRPr="00EB07D0">
        <w:rPr>
          <w:rFonts w:ascii="Times New Roman" w:eastAsia="Times New Roman" w:hAnsi="Times New Roman" w:cs="Times New Roman"/>
          <w:bCs/>
        </w:rPr>
        <w:t xml:space="preserve">  </w:t>
      </w:r>
      <w:r>
        <w:rPr>
          <w:rFonts w:ascii="Times New Roman" w:eastAsia="Times New Roman" w:hAnsi="Times New Roman" w:cs="Times New Roman"/>
          <w:bCs/>
        </w:rPr>
        <w:t xml:space="preserve">Additionally, </w:t>
      </w:r>
      <w:r w:rsidRPr="00EB07D0">
        <w:rPr>
          <w:rFonts w:ascii="Times New Roman" w:eastAsia="Times New Roman" w:hAnsi="Times New Roman" w:cs="Times New Roman"/>
          <w:bCs/>
        </w:rPr>
        <w:t>the American Bar Association’s (ABA) Civil Immigration and Detent</w:t>
      </w:r>
      <w:r>
        <w:rPr>
          <w:rFonts w:ascii="Times New Roman" w:eastAsia="Times New Roman" w:hAnsi="Times New Roman" w:cs="Times New Roman"/>
          <w:bCs/>
        </w:rPr>
        <w:t>ion Standards publication,</w:t>
      </w:r>
      <w:r w:rsidRPr="00EB07D0">
        <w:rPr>
          <w:rFonts w:ascii="Times New Roman" w:eastAsia="Times New Roman" w:hAnsi="Times New Roman" w:cs="Times New Roman"/>
          <w:bCs/>
        </w:rPr>
        <w:t xml:space="preserve"> adopted by the ABA House of De</w:t>
      </w:r>
      <w:r>
        <w:rPr>
          <w:rFonts w:ascii="Times New Roman" w:eastAsia="Times New Roman" w:hAnsi="Times New Roman" w:cs="Times New Roman"/>
          <w:bCs/>
        </w:rPr>
        <w:t>legates as recently as 2012, published</w:t>
      </w:r>
      <w:r w:rsidRPr="00EB07D0">
        <w:rPr>
          <w:rFonts w:ascii="Times New Roman" w:eastAsia="Times New Roman" w:hAnsi="Times New Roman" w:cs="Times New Roman"/>
          <w:bCs/>
        </w:rPr>
        <w:t xml:space="preserve"> provisions </w:t>
      </w:r>
      <w:r>
        <w:rPr>
          <w:rFonts w:ascii="Times New Roman" w:eastAsia="Times New Roman" w:hAnsi="Times New Roman" w:cs="Times New Roman"/>
          <w:bCs/>
        </w:rPr>
        <w:t xml:space="preserve">to </w:t>
      </w:r>
      <w:r w:rsidRPr="00EB07D0">
        <w:rPr>
          <w:rFonts w:ascii="Times New Roman" w:eastAsia="Times New Roman" w:hAnsi="Times New Roman" w:cs="Times New Roman"/>
          <w:bCs/>
        </w:rPr>
        <w:t>ensure the protection of immigrant detainees’ human and civil rights.</w:t>
      </w:r>
      <w:r>
        <w:rPr>
          <w:rStyle w:val="FootnoteReference"/>
          <w:rFonts w:ascii="Times New Roman" w:eastAsia="Times New Roman" w:hAnsi="Times New Roman" w:cs="Times New Roman"/>
          <w:bCs/>
        </w:rPr>
        <w:footnoteReference w:id="6"/>
      </w:r>
      <w:r w:rsidRPr="00EB07D0">
        <w:rPr>
          <w:rFonts w:ascii="Times New Roman" w:eastAsia="Times New Roman" w:hAnsi="Times New Roman" w:cs="Times New Roman"/>
          <w:bCs/>
        </w:rPr>
        <w:t xml:space="preserve">  To lower the risk of violating these rights, the ABA standards offer specific provisions relating to personal security and health care for immigration detention centers.</w:t>
      </w:r>
      <w:r>
        <w:rPr>
          <w:rFonts w:ascii="Times New Roman" w:eastAsia="Times New Roman" w:hAnsi="Times New Roman" w:cs="Times New Roman"/>
          <w:bCs/>
        </w:rPr>
        <w:t xml:space="preserve">  </w:t>
      </w:r>
      <w:r w:rsidRPr="00EB07D0">
        <w:rPr>
          <w:rFonts w:ascii="Times New Roman" w:eastAsia="Times New Roman" w:hAnsi="Times New Roman" w:cs="Times New Roman"/>
          <w:bCs/>
        </w:rPr>
        <w:t>For instance, the ABA recommends, “Facilities should respect the rights and dignity of all residents. No resident should be subject to cruel, inhuman, or degrading treatment or conditions,”</w:t>
      </w:r>
      <w:r>
        <w:rPr>
          <w:rStyle w:val="FootnoteReference"/>
          <w:rFonts w:ascii="Times New Roman" w:eastAsia="Times New Roman" w:hAnsi="Times New Roman" w:cs="Times New Roman"/>
          <w:bCs/>
        </w:rPr>
        <w:footnoteReference w:id="7"/>
      </w:r>
      <w:r w:rsidRPr="00EB07D0">
        <w:rPr>
          <w:rFonts w:ascii="Times New Roman" w:eastAsia="Times New Roman" w:hAnsi="Times New Roman" w:cs="Times New Roman"/>
          <w:bCs/>
        </w:rPr>
        <w:t xml:space="preserve"> and that “Facilities should allow for residents to seek and receive […] medical and psycho-social care […].”</w:t>
      </w:r>
      <w:r>
        <w:rPr>
          <w:rStyle w:val="FootnoteReference"/>
          <w:rFonts w:ascii="Times New Roman" w:eastAsia="Times New Roman" w:hAnsi="Times New Roman" w:cs="Times New Roman"/>
          <w:bCs/>
        </w:rPr>
        <w:footnoteReference w:id="8"/>
      </w:r>
      <w:r w:rsidRPr="00EB07D0">
        <w:rPr>
          <w:rFonts w:ascii="Times New Roman" w:eastAsia="Times New Roman" w:hAnsi="Times New Roman" w:cs="Times New Roman"/>
          <w:bCs/>
        </w:rPr>
        <w:t xml:space="preserve"> </w:t>
      </w:r>
    </w:p>
    <w:p w14:paraId="38A9C0BF" w14:textId="77777777" w:rsidR="00D075F3" w:rsidRPr="00D075F3" w:rsidRDefault="00D075F3" w:rsidP="00D075F3">
      <w:pPr>
        <w:spacing w:before="100" w:beforeAutospacing="1" w:after="100" w:afterAutospacing="1"/>
        <w:ind w:firstLine="720"/>
        <w:jc w:val="center"/>
        <w:outlineLvl w:val="2"/>
        <w:rPr>
          <w:rFonts w:ascii="Times New Roman" w:eastAsia="Times New Roman" w:hAnsi="Times New Roman" w:cs="Times New Roman"/>
          <w:bCs/>
          <w:u w:val="single"/>
        </w:rPr>
      </w:pPr>
      <w:r w:rsidRPr="00D075F3">
        <w:rPr>
          <w:rFonts w:ascii="Times New Roman" w:eastAsia="Times New Roman" w:hAnsi="Times New Roman" w:cs="Times New Roman"/>
          <w:bCs/>
          <w:u w:val="single"/>
        </w:rPr>
        <w:t>International Standards</w:t>
      </w:r>
    </w:p>
    <w:p w14:paraId="6354213F" w14:textId="77777777" w:rsidR="00A0721B" w:rsidRDefault="00A0721B" w:rsidP="00A0721B">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With respect to international law, the Inter-American Commission of Human Rights</w:t>
      </w:r>
      <w:r w:rsidR="00714D1C">
        <w:rPr>
          <w:rFonts w:ascii="Times New Roman" w:eastAsia="Times New Roman" w:hAnsi="Times New Roman" w:cs="Times New Roman"/>
          <w:bCs/>
        </w:rPr>
        <w:t>,</w:t>
      </w:r>
      <w:r>
        <w:rPr>
          <w:rFonts w:ascii="Times New Roman" w:eastAsia="Times New Roman" w:hAnsi="Times New Roman" w:cs="Times New Roman"/>
          <w:bCs/>
        </w:rPr>
        <w:t xml:space="preserve"> which oversees the preservation of human r</w:t>
      </w:r>
      <w:r w:rsidR="00714D1C">
        <w:rPr>
          <w:rFonts w:ascii="Times New Roman" w:eastAsia="Times New Roman" w:hAnsi="Times New Roman" w:cs="Times New Roman"/>
          <w:bCs/>
        </w:rPr>
        <w:t>ights in the American hemisphere,</w:t>
      </w:r>
      <w:r>
        <w:rPr>
          <w:rFonts w:ascii="Times New Roman" w:eastAsia="Times New Roman" w:hAnsi="Times New Roman" w:cs="Times New Roman"/>
          <w:bCs/>
        </w:rPr>
        <w:t xml:space="preserve"> recogniz</w:t>
      </w:r>
      <w:r w:rsidR="00714D1C">
        <w:rPr>
          <w:rFonts w:ascii="Times New Roman" w:eastAsia="Times New Roman" w:hAnsi="Times New Roman" w:cs="Times New Roman"/>
          <w:bCs/>
        </w:rPr>
        <w:t>es immigrant detainees’ rights to medical care.</w:t>
      </w:r>
      <w:r w:rsidR="00714D1C">
        <w:rPr>
          <w:rStyle w:val="FootnoteReference"/>
          <w:rFonts w:ascii="Times New Roman" w:eastAsia="Times New Roman" w:hAnsi="Times New Roman" w:cs="Times New Roman"/>
          <w:bCs/>
        </w:rPr>
        <w:footnoteReference w:id="9"/>
      </w:r>
      <w:r w:rsidR="00714D1C">
        <w:rPr>
          <w:rFonts w:ascii="Times New Roman" w:eastAsia="Times New Roman" w:hAnsi="Times New Roman" w:cs="Times New Roman"/>
          <w:bCs/>
        </w:rPr>
        <w:t xml:space="preserve">  </w:t>
      </w:r>
      <w:r w:rsidR="006531A7">
        <w:rPr>
          <w:rFonts w:ascii="Times New Roman" w:eastAsia="Times New Roman" w:hAnsi="Times New Roman" w:cs="Times New Roman"/>
          <w:bCs/>
        </w:rPr>
        <w:t>In Article XXV of the American Declaration, Principle X of the Inter-A</w:t>
      </w:r>
      <w:r w:rsidR="003F6BD8">
        <w:rPr>
          <w:rFonts w:ascii="Times New Roman" w:eastAsia="Times New Roman" w:hAnsi="Times New Roman" w:cs="Times New Roman"/>
          <w:bCs/>
        </w:rPr>
        <w:t>merican Principles on Detention,</w:t>
      </w:r>
    </w:p>
    <w:p w14:paraId="2D8C6121" w14:textId="77777777" w:rsidR="006531A7" w:rsidRPr="00092B33" w:rsidRDefault="006531A7" w:rsidP="00CF5088">
      <w:pPr>
        <w:spacing w:before="100" w:beforeAutospacing="1" w:after="100" w:afterAutospacing="1"/>
        <w:ind w:left="720"/>
        <w:outlineLvl w:val="2"/>
        <w:rPr>
          <w:rFonts w:ascii="Times New Roman" w:eastAsia="Times New Roman" w:hAnsi="Times New Roman" w:cs="Times New Roman"/>
          <w:bCs/>
          <w:sz w:val="22"/>
          <w:szCs w:val="22"/>
        </w:rPr>
      </w:pPr>
      <w:r w:rsidRPr="00092B33">
        <w:rPr>
          <w:rFonts w:ascii="Times New Roman" w:eastAsia="Times New Roman" w:hAnsi="Times New Roman" w:cs="Times New Roman"/>
          <w:bCs/>
          <w:sz w:val="22"/>
          <w:szCs w:val="22"/>
        </w:rPr>
        <w:t>Sets out guidelines on the range of medical, psychiatric and dental services to which immigration detainees should have access, from basic care to prolonged, ongoing treatment in the case of the most serious afflictions. Under Principle X, special measures are to be provided to treat the health needs of vulnerable groups like the elderly, women, children and detainees with physical or mental disabilities. This Principle establi</w:t>
      </w:r>
      <w:r w:rsidR="00CF5088" w:rsidRPr="00092B33">
        <w:rPr>
          <w:rFonts w:ascii="Times New Roman" w:eastAsia="Times New Roman" w:hAnsi="Times New Roman" w:cs="Times New Roman"/>
          <w:bCs/>
          <w:sz w:val="22"/>
          <w:szCs w:val="22"/>
        </w:rPr>
        <w:t xml:space="preserve">shes that </w:t>
      </w:r>
      <w:r w:rsidR="00FD212F" w:rsidRPr="00092B33">
        <w:rPr>
          <w:rFonts w:ascii="Times New Roman" w:eastAsia="Times New Roman" w:hAnsi="Times New Roman" w:cs="Times New Roman"/>
          <w:bCs/>
          <w:sz w:val="22"/>
          <w:szCs w:val="22"/>
        </w:rPr>
        <w:t>the provision of health services shall, in all circumstances, respect the following principles: medical confidentiality, patient autonomy; and informed consent to medical treatment in the physician-patient relationship.</w:t>
      </w:r>
      <w:r w:rsidR="00FD212F" w:rsidRPr="00092B33">
        <w:rPr>
          <w:rStyle w:val="FootnoteReference"/>
          <w:rFonts w:ascii="Times New Roman" w:eastAsia="Times New Roman" w:hAnsi="Times New Roman" w:cs="Times New Roman"/>
          <w:bCs/>
          <w:sz w:val="22"/>
          <w:szCs w:val="22"/>
        </w:rPr>
        <w:footnoteReference w:id="10"/>
      </w:r>
    </w:p>
    <w:p w14:paraId="7D76F066" w14:textId="77777777" w:rsidR="003F6BD8" w:rsidRDefault="003F6BD8" w:rsidP="00092B33">
      <w:pPr>
        <w:spacing w:before="100" w:beforeAutospacing="1" w:after="100" w:afterAutospacing="1"/>
        <w:ind w:firstLine="560"/>
        <w:outlineLvl w:val="2"/>
        <w:rPr>
          <w:rFonts w:ascii="Times New Roman" w:eastAsia="Times New Roman" w:hAnsi="Times New Roman" w:cs="Times New Roman"/>
          <w:bCs/>
        </w:rPr>
      </w:pPr>
      <w:r>
        <w:rPr>
          <w:rFonts w:ascii="Times New Roman" w:eastAsia="Times New Roman" w:hAnsi="Times New Roman" w:cs="Times New Roman"/>
          <w:bCs/>
        </w:rPr>
        <w:t xml:space="preserve">Additionally, both the United Nations Committee on Economic, Social and Cultural Rights </w:t>
      </w:r>
      <w:r w:rsidR="00092B33">
        <w:rPr>
          <w:rFonts w:ascii="Times New Roman" w:eastAsia="Times New Roman" w:hAnsi="Times New Roman" w:cs="Times New Roman"/>
          <w:bCs/>
        </w:rPr>
        <w:t xml:space="preserve">the United Nations Special Rapporteur on the Human Rights of Migrant Workers </w:t>
      </w:r>
      <w:r w:rsidR="00092B33">
        <w:rPr>
          <w:rFonts w:ascii="Times New Roman" w:eastAsia="Times New Roman" w:hAnsi="Times New Roman" w:cs="Times New Roman"/>
          <w:bCs/>
        </w:rPr>
        <w:lastRenderedPageBreak/>
        <w:t>advocate quality medical care and access for detainees in immigration detention.</w:t>
      </w:r>
      <w:r w:rsidR="00092B33">
        <w:rPr>
          <w:rStyle w:val="FootnoteReference"/>
          <w:rFonts w:ascii="Times New Roman" w:eastAsia="Times New Roman" w:hAnsi="Times New Roman" w:cs="Times New Roman"/>
          <w:bCs/>
        </w:rPr>
        <w:footnoteReference w:id="11"/>
      </w:r>
      <w:r w:rsidR="00092B33">
        <w:rPr>
          <w:rFonts w:ascii="Times New Roman" w:eastAsia="Times New Roman" w:hAnsi="Times New Roman" w:cs="Times New Roman"/>
          <w:bCs/>
        </w:rPr>
        <w:t xml:space="preserve">  The former body oversees the International Covenant on Economic, Social and Cultural Rights (ICESCR), one that the United States has signed, and which reinforces:</w:t>
      </w:r>
    </w:p>
    <w:p w14:paraId="56F168D9" w14:textId="77777777" w:rsidR="003F6BD8" w:rsidRDefault="003F6BD8" w:rsidP="00616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rPr>
      </w:pPr>
      <w:r w:rsidRPr="00092B33">
        <w:rPr>
          <w:rFonts w:ascii="Times New Roman" w:hAnsi="Times New Roman" w:cs="Times New Roman"/>
          <w:color w:val="000000"/>
          <w:sz w:val="22"/>
          <w:szCs w:val="22"/>
        </w:rPr>
        <w:t xml:space="preserve">States are under the obligation to </w:t>
      </w:r>
      <w:r w:rsidRPr="00092B33">
        <w:rPr>
          <w:rFonts w:ascii="Times New Roman" w:hAnsi="Times New Roman" w:cs="Times New Roman"/>
          <w:i/>
          <w:iCs/>
          <w:color w:val="000000"/>
          <w:sz w:val="22"/>
          <w:szCs w:val="22"/>
        </w:rPr>
        <w:t xml:space="preserve">respect </w:t>
      </w:r>
      <w:r w:rsidRPr="00092B33">
        <w:rPr>
          <w:rFonts w:ascii="Times New Roman" w:hAnsi="Times New Roman" w:cs="Times New Roman"/>
          <w:color w:val="000000"/>
          <w:sz w:val="22"/>
          <w:szCs w:val="22"/>
        </w:rPr>
        <w:t xml:space="preserve">the right to health by, </w:t>
      </w:r>
      <w:r w:rsidRPr="00092B33">
        <w:rPr>
          <w:rFonts w:ascii="Times New Roman" w:hAnsi="Times New Roman" w:cs="Times New Roman"/>
          <w:i/>
          <w:iCs/>
          <w:color w:val="000000"/>
          <w:sz w:val="22"/>
          <w:szCs w:val="22"/>
        </w:rPr>
        <w:t>inter alia</w:t>
      </w:r>
      <w:r w:rsidRPr="00092B33">
        <w:rPr>
          <w:rFonts w:ascii="Times New Roman" w:hAnsi="Times New Roman" w:cs="Times New Roman"/>
          <w:color w:val="000000"/>
          <w:sz w:val="22"/>
          <w:szCs w:val="22"/>
        </w:rPr>
        <w:t>, refraining from denying or limiting equal access for all persons, including prisoners or detainees, minorities, asylum seekers and illegal immigrants, to preventive, curative and palliative health services; abstaining from enforcing discriminatory practices as a State policy; and abstaining from imposing discriminatory practices relating to women's health status and needs.</w:t>
      </w:r>
      <w:r w:rsidR="00092B33">
        <w:rPr>
          <w:rStyle w:val="FootnoteReference"/>
          <w:rFonts w:ascii="Times New Roman" w:hAnsi="Times New Roman" w:cs="Times New Roman"/>
          <w:color w:val="000000"/>
          <w:sz w:val="22"/>
          <w:szCs w:val="22"/>
        </w:rPr>
        <w:footnoteReference w:id="12"/>
      </w:r>
    </w:p>
    <w:p w14:paraId="065026FA" w14:textId="77777777" w:rsidR="00092B33" w:rsidRDefault="00092B33" w:rsidP="00092B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rPr>
      </w:pPr>
    </w:p>
    <w:p w14:paraId="4BF3E5A3" w14:textId="77777777" w:rsidR="00092B33" w:rsidRPr="00F94906" w:rsidRDefault="00092B33" w:rsidP="00616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F94906">
        <w:rPr>
          <w:rFonts w:ascii="Times New Roman" w:hAnsi="Times New Roman" w:cs="Times New Roman"/>
          <w:color w:val="000000"/>
        </w:rPr>
        <w:t>The UN Special Rapporteur on the Human Rights of Migrant Workers recommends:</w:t>
      </w:r>
    </w:p>
    <w:p w14:paraId="66BD8D7B" w14:textId="77777777" w:rsidR="003F6BD8" w:rsidRDefault="003F6BD8" w:rsidP="003F6BD8">
      <w:pPr>
        <w:spacing w:before="100" w:beforeAutospacing="1" w:after="100" w:afterAutospacing="1"/>
        <w:ind w:left="720"/>
        <w:outlineLvl w:val="2"/>
        <w:rPr>
          <w:rFonts w:ascii="Times New Roman" w:hAnsi="Times New Roman" w:cs="Times New Roman"/>
          <w:color w:val="000000"/>
          <w:sz w:val="22"/>
          <w:szCs w:val="22"/>
        </w:rPr>
      </w:pPr>
      <w:r w:rsidRPr="00092B33">
        <w:rPr>
          <w:rFonts w:ascii="Times New Roman" w:hAnsi="Times New Roman" w:cs="Times New Roman"/>
          <w:color w:val="000000"/>
          <w:sz w:val="22"/>
          <w:szCs w:val="22"/>
        </w:rPr>
        <w:t xml:space="preserve">Ensuring the presence in holding </w:t>
      </w:r>
      <w:proofErr w:type="spellStart"/>
      <w:r w:rsidRPr="00092B33">
        <w:rPr>
          <w:rFonts w:ascii="Times New Roman" w:hAnsi="Times New Roman" w:cs="Times New Roman"/>
          <w:color w:val="000000"/>
          <w:sz w:val="22"/>
          <w:szCs w:val="22"/>
        </w:rPr>
        <w:t>centres</w:t>
      </w:r>
      <w:proofErr w:type="spellEnd"/>
      <w:r w:rsidRPr="00092B33">
        <w:rPr>
          <w:rFonts w:ascii="Times New Roman" w:hAnsi="Times New Roman" w:cs="Times New Roman"/>
          <w:color w:val="000000"/>
          <w:sz w:val="22"/>
          <w:szCs w:val="22"/>
        </w:rPr>
        <w:t xml:space="preserve"> of a doctor with appropriate training in psychological treatments. Migrants should have the possibility of being assisted by interpreters in their contacts with doctors or when requesting medical attention. Detention of migrants with psychological problems, as well as those belonging to vulnerable categories and in need of special assistance, should be only allowed as a measure of last resort, and they should be provided with adequate medical and psychological assistance.</w:t>
      </w:r>
      <w:r w:rsidR="00D075F3">
        <w:rPr>
          <w:rStyle w:val="FootnoteReference"/>
          <w:rFonts w:ascii="Times New Roman" w:hAnsi="Times New Roman" w:cs="Times New Roman"/>
          <w:color w:val="000000"/>
          <w:sz w:val="22"/>
          <w:szCs w:val="22"/>
        </w:rPr>
        <w:footnoteReference w:id="13"/>
      </w:r>
    </w:p>
    <w:p w14:paraId="10E99DC6" w14:textId="77777777" w:rsidR="00D075F3" w:rsidRPr="00F94906" w:rsidRDefault="00D075F3" w:rsidP="00D075F3">
      <w:pPr>
        <w:spacing w:before="100" w:beforeAutospacing="1" w:after="100" w:afterAutospacing="1"/>
        <w:ind w:left="720"/>
        <w:jc w:val="center"/>
        <w:outlineLvl w:val="2"/>
        <w:rPr>
          <w:rFonts w:ascii="Times New Roman" w:hAnsi="Times New Roman" w:cs="Times New Roman"/>
          <w:color w:val="000000"/>
          <w:u w:val="single"/>
        </w:rPr>
      </w:pPr>
      <w:r w:rsidRPr="00F94906">
        <w:rPr>
          <w:rFonts w:ascii="Times New Roman" w:hAnsi="Times New Roman" w:cs="Times New Roman"/>
          <w:color w:val="000000"/>
          <w:u w:val="single"/>
        </w:rPr>
        <w:t>Conditions that Violate Both Domestic and International Standards</w:t>
      </w:r>
    </w:p>
    <w:p w14:paraId="6D567298" w14:textId="60993DCB" w:rsidR="00027087" w:rsidRPr="00F94906" w:rsidRDefault="00B276C3" w:rsidP="00027087">
      <w:pPr>
        <w:pStyle w:val="NormalWeb"/>
        <w:rPr>
          <w:rFonts w:ascii="Times New Roman" w:hAnsi="Times New Roman"/>
          <w:color w:val="000000"/>
          <w:sz w:val="24"/>
          <w:szCs w:val="24"/>
        </w:rPr>
      </w:pPr>
      <w:r>
        <w:rPr>
          <w:rFonts w:ascii="Times New Roman" w:hAnsi="Times New Roman"/>
          <w:color w:val="000000"/>
          <w:sz w:val="22"/>
          <w:szCs w:val="22"/>
        </w:rPr>
        <w:tab/>
      </w:r>
      <w:r w:rsidR="00D10403" w:rsidRPr="00F94906">
        <w:rPr>
          <w:rFonts w:ascii="Times New Roman" w:hAnsi="Times New Roman"/>
          <w:color w:val="000000"/>
          <w:sz w:val="24"/>
          <w:szCs w:val="24"/>
        </w:rPr>
        <w:t xml:space="preserve">According to the American Civil Liberties Union </w:t>
      </w:r>
      <w:r w:rsidR="00027087" w:rsidRPr="00F94906">
        <w:rPr>
          <w:rFonts w:ascii="Times New Roman" w:hAnsi="Times New Roman"/>
          <w:color w:val="000000"/>
          <w:sz w:val="24"/>
          <w:szCs w:val="24"/>
        </w:rPr>
        <w:t xml:space="preserve">(ACLU) </w:t>
      </w:r>
      <w:r w:rsidR="00D10403" w:rsidRPr="00F94906">
        <w:rPr>
          <w:rFonts w:ascii="Times New Roman" w:hAnsi="Times New Roman"/>
          <w:color w:val="000000"/>
          <w:sz w:val="24"/>
          <w:szCs w:val="24"/>
        </w:rPr>
        <w:t>2008 report on conditions in immigration detenti</w:t>
      </w:r>
      <w:r w:rsidR="00696701" w:rsidRPr="00F94906">
        <w:rPr>
          <w:rFonts w:ascii="Times New Roman" w:hAnsi="Times New Roman"/>
          <w:color w:val="000000"/>
          <w:sz w:val="24"/>
          <w:szCs w:val="24"/>
        </w:rPr>
        <w:t xml:space="preserve">on, numerous incidents at </w:t>
      </w:r>
      <w:r w:rsidR="006B6922">
        <w:rPr>
          <w:rFonts w:ascii="Times New Roman" w:hAnsi="Times New Roman"/>
          <w:color w:val="000000"/>
          <w:sz w:val="24"/>
          <w:szCs w:val="24"/>
        </w:rPr>
        <w:t xml:space="preserve">detention </w:t>
      </w:r>
      <w:r w:rsidR="00696701" w:rsidRPr="00F94906">
        <w:rPr>
          <w:rFonts w:ascii="Times New Roman" w:hAnsi="Times New Roman"/>
          <w:color w:val="000000"/>
          <w:sz w:val="24"/>
          <w:szCs w:val="24"/>
        </w:rPr>
        <w:t>centers</w:t>
      </w:r>
      <w:r w:rsidR="00D10403" w:rsidRPr="00F94906">
        <w:rPr>
          <w:rFonts w:ascii="Times New Roman" w:hAnsi="Times New Roman"/>
          <w:color w:val="000000"/>
          <w:sz w:val="24"/>
          <w:szCs w:val="24"/>
        </w:rPr>
        <w:t xml:space="preserve"> demonstrated inadequate medical care where detainees faced long delays in getting medical care and were delayed/denied non-routine care</w:t>
      </w:r>
      <w:r w:rsidR="00696701" w:rsidRPr="00F94906">
        <w:rPr>
          <w:rFonts w:ascii="Times New Roman" w:hAnsi="Times New Roman"/>
          <w:color w:val="000000"/>
          <w:sz w:val="24"/>
          <w:szCs w:val="24"/>
        </w:rPr>
        <w:t>.</w:t>
      </w:r>
      <w:r w:rsidR="00696701" w:rsidRPr="00F94906">
        <w:rPr>
          <w:rStyle w:val="FootnoteReference"/>
          <w:rFonts w:ascii="Times New Roman" w:hAnsi="Times New Roman"/>
          <w:color w:val="000000"/>
          <w:sz w:val="24"/>
          <w:szCs w:val="24"/>
        </w:rPr>
        <w:footnoteReference w:id="14"/>
      </w:r>
      <w:r w:rsidR="009F042B" w:rsidRPr="00F94906">
        <w:rPr>
          <w:rFonts w:ascii="Times New Roman" w:hAnsi="Times New Roman"/>
          <w:color w:val="000000"/>
          <w:sz w:val="24"/>
          <w:szCs w:val="24"/>
        </w:rPr>
        <w:t xml:space="preserve">  </w:t>
      </w:r>
      <w:r w:rsidR="006B6922">
        <w:rPr>
          <w:rFonts w:ascii="Times New Roman" w:hAnsi="Times New Roman"/>
          <w:color w:val="000000"/>
          <w:sz w:val="24"/>
          <w:szCs w:val="24"/>
        </w:rPr>
        <w:t>In one specific case</w:t>
      </w:r>
      <w:r w:rsidR="00AA15C2" w:rsidRPr="00F94906">
        <w:rPr>
          <w:rFonts w:ascii="Times New Roman" w:hAnsi="Times New Roman"/>
          <w:color w:val="000000"/>
          <w:sz w:val="24"/>
          <w:szCs w:val="24"/>
        </w:rPr>
        <w:t>, the staff at detention centers delaye</w:t>
      </w:r>
      <w:r w:rsidR="002B02F0" w:rsidRPr="00F94906">
        <w:rPr>
          <w:rFonts w:ascii="Times New Roman" w:hAnsi="Times New Roman"/>
          <w:color w:val="000000"/>
          <w:sz w:val="24"/>
          <w:szCs w:val="24"/>
        </w:rPr>
        <w:t>d or denied treatment thinking that the ill detainees would be released or deported soon.</w:t>
      </w:r>
      <w:r w:rsidR="002B02F0" w:rsidRPr="00F94906">
        <w:rPr>
          <w:rStyle w:val="FootnoteReference"/>
          <w:rFonts w:ascii="Times New Roman" w:hAnsi="Times New Roman"/>
          <w:color w:val="000000"/>
          <w:sz w:val="24"/>
          <w:szCs w:val="24"/>
        </w:rPr>
        <w:footnoteReference w:id="15"/>
      </w:r>
      <w:r w:rsidR="002B02F0" w:rsidRPr="00F94906">
        <w:rPr>
          <w:rFonts w:ascii="Times New Roman" w:hAnsi="Times New Roman"/>
          <w:color w:val="000000"/>
          <w:sz w:val="24"/>
          <w:szCs w:val="24"/>
        </w:rPr>
        <w:t xml:space="preserve">  In another case, a detainee had broken his finger befor</w:t>
      </w:r>
      <w:r w:rsidR="006B6922">
        <w:rPr>
          <w:rFonts w:ascii="Times New Roman" w:hAnsi="Times New Roman"/>
          <w:color w:val="000000"/>
          <w:sz w:val="24"/>
          <w:szCs w:val="24"/>
        </w:rPr>
        <w:t>e being detained, and the</w:t>
      </w:r>
      <w:r w:rsidR="00AA15C2" w:rsidRPr="00F94906">
        <w:rPr>
          <w:rFonts w:ascii="Times New Roman" w:hAnsi="Times New Roman"/>
          <w:color w:val="000000"/>
          <w:sz w:val="24"/>
          <w:szCs w:val="24"/>
        </w:rPr>
        <w:t xml:space="preserve"> </w:t>
      </w:r>
      <w:r w:rsidR="002B02F0" w:rsidRPr="00F94906">
        <w:rPr>
          <w:rFonts w:ascii="Times New Roman" w:hAnsi="Times New Roman"/>
          <w:color w:val="000000"/>
          <w:sz w:val="24"/>
          <w:szCs w:val="24"/>
        </w:rPr>
        <w:t>medical staff at the detention center refused to fix the break</w:t>
      </w:r>
      <w:r w:rsidR="00027087" w:rsidRPr="00F94906">
        <w:rPr>
          <w:rFonts w:ascii="Times New Roman" w:hAnsi="Times New Roman"/>
          <w:color w:val="000000"/>
          <w:sz w:val="24"/>
          <w:szCs w:val="24"/>
        </w:rPr>
        <w:t>,</w:t>
      </w:r>
      <w:r w:rsidR="002B02F0" w:rsidRPr="00F94906">
        <w:rPr>
          <w:rFonts w:ascii="Times New Roman" w:hAnsi="Times New Roman"/>
          <w:color w:val="000000"/>
          <w:sz w:val="24"/>
          <w:szCs w:val="24"/>
        </w:rPr>
        <w:t xml:space="preserve"> which resulted in further pain and eventual deformity.</w:t>
      </w:r>
      <w:r w:rsidR="002B02F0" w:rsidRPr="00F94906">
        <w:rPr>
          <w:rStyle w:val="FootnoteReference"/>
          <w:rFonts w:ascii="Times New Roman" w:hAnsi="Times New Roman"/>
          <w:color w:val="000000"/>
          <w:sz w:val="24"/>
          <w:szCs w:val="24"/>
        </w:rPr>
        <w:footnoteReference w:id="16"/>
      </w:r>
      <w:r w:rsidR="00027087" w:rsidRPr="00F94906">
        <w:rPr>
          <w:rFonts w:ascii="Times New Roman" w:hAnsi="Times New Roman"/>
          <w:color w:val="000000"/>
          <w:sz w:val="24"/>
          <w:szCs w:val="24"/>
        </w:rPr>
        <w:t xml:space="preserve">  The ACLU also profiled the inadequacies in various immigration detention centers nationwide including the Stewart Detention Center in Georgia and reported:</w:t>
      </w:r>
    </w:p>
    <w:p w14:paraId="28771DDE" w14:textId="77777777" w:rsidR="00027087" w:rsidRDefault="00027087" w:rsidP="00027087">
      <w:pPr>
        <w:pStyle w:val="NormalWeb"/>
        <w:ind w:left="360"/>
        <w:rPr>
          <w:rFonts w:ascii="Times New Roman" w:hAnsi="Times New Roman"/>
        </w:rPr>
      </w:pPr>
      <w:r w:rsidRPr="00027087">
        <w:rPr>
          <w:rFonts w:ascii="Times New Roman" w:hAnsi="Times New Roman"/>
        </w:rPr>
        <w:t xml:space="preserve">At Stewart, the medical and mental health care unit is understaffed, resulting in lack of adequately licensed health care professionals, delays in receiving care, and inadequate mental health care services.  From April 2009 to the summer of 2012, there was no doctor at Stewart, which means the </w:t>
      </w:r>
      <w:r w:rsidRPr="00027087">
        <w:rPr>
          <w:rFonts w:ascii="Times New Roman" w:hAnsi="Times New Roman"/>
        </w:rPr>
        <w:lastRenderedPageBreak/>
        <w:t>facility was without a physician for more than three years. Currently there is only one doctor and only seven nurses on staff at the 1,752-bed facility, which is a ratio of 1 nurse per 250 prisoners.</w:t>
      </w:r>
      <w:r>
        <w:rPr>
          <w:rStyle w:val="FootnoteReference"/>
          <w:rFonts w:ascii="Times New Roman" w:hAnsi="Times New Roman"/>
        </w:rPr>
        <w:footnoteReference w:id="17"/>
      </w:r>
    </w:p>
    <w:p w14:paraId="7CC18FCF" w14:textId="6AF63725" w:rsidR="00616005" w:rsidRDefault="00616005" w:rsidP="00616005">
      <w:pPr>
        <w:spacing w:before="100" w:beforeAutospacing="1" w:after="100" w:afterAutospacing="1"/>
        <w:ind w:firstLine="720"/>
        <w:outlineLvl w:val="2"/>
        <w:rPr>
          <w:rFonts w:ascii="Times New Roman" w:eastAsia="Times New Roman" w:hAnsi="Times New Roman" w:cs="Times New Roman"/>
          <w:bCs/>
        </w:rPr>
      </w:pPr>
      <w:r>
        <w:rPr>
          <w:rFonts w:ascii="Times New Roman" w:hAnsi="Times New Roman"/>
        </w:rPr>
        <w:t>Additionally,</w:t>
      </w:r>
      <w:r>
        <w:rPr>
          <w:rFonts w:ascii="Times New Roman" w:eastAsia="Times New Roman" w:hAnsi="Times New Roman" w:cs="Times New Roman"/>
          <w:bCs/>
        </w:rPr>
        <w:t xml:space="preserve"> the medical staff at some</w:t>
      </w:r>
      <w:r w:rsidR="006B6922">
        <w:rPr>
          <w:rFonts w:ascii="Times New Roman" w:eastAsia="Times New Roman" w:hAnsi="Times New Roman" w:cs="Times New Roman"/>
          <w:bCs/>
        </w:rPr>
        <w:t xml:space="preserve"> facilities engage in</w:t>
      </w:r>
      <w:r>
        <w:rPr>
          <w:rFonts w:ascii="Times New Roman" w:eastAsia="Times New Roman" w:hAnsi="Times New Roman" w:cs="Times New Roman"/>
          <w:bCs/>
        </w:rPr>
        <w:t xml:space="preserve"> controversial practices to medically “manage” detainees; detainees at the Atlanta penitentia</w:t>
      </w:r>
      <w:r w:rsidR="006B6922">
        <w:rPr>
          <w:rFonts w:ascii="Times New Roman" w:eastAsia="Times New Roman" w:hAnsi="Times New Roman" w:cs="Times New Roman"/>
          <w:bCs/>
        </w:rPr>
        <w:t>ry related that the doctor at the facility</w:t>
      </w:r>
      <w:r>
        <w:rPr>
          <w:rFonts w:ascii="Times New Roman" w:eastAsia="Times New Roman" w:hAnsi="Times New Roman" w:cs="Times New Roman"/>
          <w:bCs/>
        </w:rPr>
        <w:t>:</w:t>
      </w:r>
    </w:p>
    <w:p w14:paraId="28B6E0F3" w14:textId="77777777" w:rsidR="00616005" w:rsidRPr="00616005" w:rsidRDefault="00616005" w:rsidP="00616005">
      <w:pPr>
        <w:spacing w:before="100" w:beforeAutospacing="1" w:after="100" w:afterAutospacing="1"/>
        <w:ind w:left="720"/>
        <w:outlineLvl w:val="2"/>
        <w:rPr>
          <w:rFonts w:ascii="Times New Roman" w:eastAsia="Times New Roman" w:hAnsi="Times New Roman" w:cs="Times New Roman"/>
          <w:bCs/>
          <w:sz w:val="20"/>
          <w:szCs w:val="20"/>
        </w:rPr>
      </w:pPr>
      <w:r w:rsidRPr="00616005">
        <w:rPr>
          <w:rFonts w:ascii="Times New Roman" w:eastAsia="Times New Roman" w:hAnsi="Times New Roman" w:cs="Times New Roman"/>
          <w:bCs/>
          <w:sz w:val="20"/>
          <w:szCs w:val="20"/>
        </w:rPr>
        <w:t xml:space="preserve">[…] drove inmates “mad,” turning them into “vegetables” and “automatons” with injections of </w:t>
      </w:r>
      <w:proofErr w:type="spellStart"/>
      <w:r w:rsidRPr="00616005">
        <w:rPr>
          <w:rFonts w:ascii="Times New Roman" w:eastAsia="Times New Roman" w:hAnsi="Times New Roman" w:cs="Times New Roman"/>
          <w:bCs/>
          <w:sz w:val="20"/>
          <w:szCs w:val="20"/>
        </w:rPr>
        <w:t>Thorazine</w:t>
      </w:r>
      <w:proofErr w:type="spellEnd"/>
      <w:r w:rsidRPr="00616005">
        <w:rPr>
          <w:rFonts w:ascii="Times New Roman" w:eastAsia="Times New Roman" w:hAnsi="Times New Roman" w:cs="Times New Roman"/>
          <w:bCs/>
          <w:sz w:val="20"/>
          <w:szCs w:val="20"/>
        </w:rPr>
        <w:t xml:space="preserve"> and other drugs, while the INS justified their continued detention on the basis of their mental illness.  [The doctor] was the chief medical officer in Atlanta.  The prisoners alleged that he forced </w:t>
      </w:r>
      <w:proofErr w:type="spellStart"/>
      <w:r w:rsidRPr="00616005">
        <w:rPr>
          <w:rFonts w:ascii="Times New Roman" w:eastAsia="Times New Roman" w:hAnsi="Times New Roman" w:cs="Times New Roman"/>
          <w:bCs/>
          <w:sz w:val="20"/>
          <w:szCs w:val="20"/>
        </w:rPr>
        <w:t>Thorazine</w:t>
      </w:r>
      <w:proofErr w:type="spellEnd"/>
      <w:r w:rsidRPr="00616005">
        <w:rPr>
          <w:rFonts w:ascii="Times New Roman" w:eastAsia="Times New Roman" w:hAnsi="Times New Roman" w:cs="Times New Roman"/>
          <w:bCs/>
          <w:sz w:val="20"/>
          <w:szCs w:val="20"/>
        </w:rPr>
        <w:t xml:space="preserve"> on them when they couldn’t sleep, or when they were depressed, or for no reason at all, and that he sometimes hid the medication in their food when they refused it.  The doctor responded, “No medication that was given there was for experimental purpose[s].” He also recalled: “The whole prison, as far as I was concerned, was really a psychiatric, social laboratory.”</w:t>
      </w:r>
      <w:r w:rsidRPr="00616005">
        <w:rPr>
          <w:rStyle w:val="FootnoteReference"/>
          <w:rFonts w:ascii="Times New Roman" w:eastAsia="Times New Roman" w:hAnsi="Times New Roman" w:cs="Times New Roman"/>
          <w:bCs/>
          <w:sz w:val="20"/>
          <w:szCs w:val="20"/>
        </w:rPr>
        <w:footnoteReference w:id="18"/>
      </w:r>
    </w:p>
    <w:p w14:paraId="0AE0A1B9" w14:textId="77402C70" w:rsidR="00616005" w:rsidRDefault="00616005" w:rsidP="00616005">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Along with detainee complaints about the use of inappropriate and inadequate medical treatment, the Lawyers Committ</w:t>
      </w:r>
      <w:r w:rsidR="006B6922">
        <w:rPr>
          <w:rFonts w:ascii="Times New Roman" w:eastAsia="Times New Roman" w:hAnsi="Times New Roman" w:cs="Times New Roman"/>
          <w:bCs/>
        </w:rPr>
        <w:t>ee for Human Rights declares, “[m]</w:t>
      </w:r>
      <w:r>
        <w:rPr>
          <w:rFonts w:ascii="Times New Roman" w:eastAsia="Times New Roman" w:hAnsi="Times New Roman" w:cs="Times New Roman"/>
          <w:bCs/>
        </w:rPr>
        <w:t>any [immigration detainees</w:t>
      </w:r>
      <w:proofErr w:type="gramStart"/>
      <w:r>
        <w:rPr>
          <w:rFonts w:ascii="Times New Roman" w:eastAsia="Times New Roman" w:hAnsi="Times New Roman" w:cs="Times New Roman"/>
          <w:bCs/>
        </w:rPr>
        <w:t>][</w:t>
      </w:r>
      <w:proofErr w:type="gramEnd"/>
      <w:r>
        <w:rPr>
          <w:rFonts w:ascii="Times New Roman" w:eastAsia="Times New Roman" w:hAnsi="Times New Roman" w:cs="Times New Roman"/>
          <w:bCs/>
        </w:rPr>
        <w:t>…] and other asylum-seekers have complained of the use of forced sedation.”</w:t>
      </w:r>
      <w:r>
        <w:rPr>
          <w:rStyle w:val="FootnoteReference"/>
          <w:rFonts w:ascii="Times New Roman" w:eastAsia="Times New Roman" w:hAnsi="Times New Roman" w:cs="Times New Roman"/>
          <w:bCs/>
        </w:rPr>
        <w:footnoteReference w:id="19"/>
      </w:r>
      <w:r>
        <w:rPr>
          <w:rFonts w:ascii="Times New Roman" w:eastAsia="Times New Roman" w:hAnsi="Times New Roman" w:cs="Times New Roman"/>
          <w:bCs/>
        </w:rPr>
        <w:t xml:space="preserve">  Amnesty International reported that a female asylum-seeker from Uganda, distraught from discovering she was to be held in a maximum security section of York County Prison, was stripped naked by prison officials, injected with sedatives and placed in a four-point restraint.</w:t>
      </w:r>
      <w:r>
        <w:rPr>
          <w:rStyle w:val="FootnoteReference"/>
          <w:rFonts w:ascii="Times New Roman" w:eastAsia="Times New Roman" w:hAnsi="Times New Roman" w:cs="Times New Roman"/>
          <w:bCs/>
        </w:rPr>
        <w:footnoteReference w:id="20"/>
      </w:r>
      <w:r>
        <w:rPr>
          <w:rFonts w:ascii="Times New Roman" w:eastAsia="Times New Roman" w:hAnsi="Times New Roman" w:cs="Times New Roman"/>
          <w:bCs/>
        </w:rPr>
        <w:t xml:space="preserve">  The Washing</w:t>
      </w:r>
      <w:r w:rsidR="006B6922">
        <w:rPr>
          <w:rFonts w:ascii="Times New Roman" w:eastAsia="Times New Roman" w:hAnsi="Times New Roman" w:cs="Times New Roman"/>
          <w:bCs/>
        </w:rPr>
        <w:t>ton</w:t>
      </w:r>
      <w:r>
        <w:rPr>
          <w:rFonts w:ascii="Times New Roman" w:eastAsia="Times New Roman" w:hAnsi="Times New Roman" w:cs="Times New Roman"/>
          <w:bCs/>
        </w:rPr>
        <w:t xml:space="preserve"> Post reported more than 250 cases where immigration detainees were given drugs meant to treat serious psychiatric disorders, without medical reason or justification, but </w:t>
      </w:r>
      <w:r w:rsidR="006B6922">
        <w:rPr>
          <w:rFonts w:ascii="Times New Roman" w:eastAsia="Times New Roman" w:hAnsi="Times New Roman" w:cs="Times New Roman"/>
          <w:bCs/>
        </w:rPr>
        <w:t xml:space="preserve">were used </w:t>
      </w:r>
      <w:r w:rsidR="00BF7536">
        <w:rPr>
          <w:rFonts w:ascii="Times New Roman" w:eastAsia="Times New Roman" w:hAnsi="Times New Roman" w:cs="Times New Roman"/>
          <w:bCs/>
        </w:rPr>
        <w:t xml:space="preserve">solely </w:t>
      </w:r>
      <w:r>
        <w:rPr>
          <w:rFonts w:ascii="Times New Roman" w:eastAsia="Times New Roman" w:hAnsi="Times New Roman" w:cs="Times New Roman"/>
          <w:bCs/>
        </w:rPr>
        <w:t>for the purpose of “shipping” them out of the United States.</w:t>
      </w:r>
      <w:r>
        <w:rPr>
          <w:rStyle w:val="FootnoteReference"/>
          <w:rFonts w:ascii="Times New Roman" w:eastAsia="Times New Roman" w:hAnsi="Times New Roman" w:cs="Times New Roman"/>
          <w:bCs/>
        </w:rPr>
        <w:footnoteReference w:id="21"/>
      </w:r>
    </w:p>
    <w:p w14:paraId="0A196A63" w14:textId="016F7444" w:rsidR="00A0721B" w:rsidRDefault="00697AE0" w:rsidP="00525586">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 xml:space="preserve">The delay and denial of medical care, forced sedation, and the inappropriate administration of medication constitutes violations of both domestic and international legal principles that uphold access to appropriate and necessary medical and mental health care.  Such </w:t>
      </w:r>
      <w:r w:rsidR="00BF7536">
        <w:rPr>
          <w:rFonts w:ascii="Times New Roman" w:eastAsia="Times New Roman" w:hAnsi="Times New Roman" w:cs="Times New Roman"/>
          <w:bCs/>
        </w:rPr>
        <w:t xml:space="preserve">inadequate and inappropriate </w:t>
      </w:r>
      <w:r>
        <w:rPr>
          <w:rFonts w:ascii="Times New Roman" w:eastAsia="Times New Roman" w:hAnsi="Times New Roman" w:cs="Times New Roman"/>
          <w:bCs/>
        </w:rPr>
        <w:t xml:space="preserve">conditions fail to respect the rights and dignity of detainees and rises to </w:t>
      </w:r>
      <w:r w:rsidR="00BF7536">
        <w:rPr>
          <w:rFonts w:ascii="Times New Roman" w:eastAsia="Times New Roman" w:hAnsi="Times New Roman" w:cs="Times New Roman"/>
          <w:bCs/>
        </w:rPr>
        <w:t xml:space="preserve">the level of </w:t>
      </w:r>
      <w:r>
        <w:rPr>
          <w:rFonts w:ascii="Times New Roman" w:eastAsia="Times New Roman" w:hAnsi="Times New Roman" w:cs="Times New Roman"/>
          <w:bCs/>
        </w:rPr>
        <w:t>cruel, inhuman and degrading treatment</w:t>
      </w:r>
      <w:r w:rsidR="00053D65">
        <w:rPr>
          <w:rFonts w:ascii="Times New Roman" w:eastAsia="Times New Roman" w:hAnsi="Times New Roman" w:cs="Times New Roman"/>
          <w:bCs/>
        </w:rPr>
        <w:t xml:space="preserve"> of detainees, a vulnerable group of individuals which includes women, children, and people with mental disabilities</w:t>
      </w:r>
      <w:r>
        <w:rPr>
          <w:rFonts w:ascii="Times New Roman" w:eastAsia="Times New Roman" w:hAnsi="Times New Roman" w:cs="Times New Roman"/>
          <w:bCs/>
        </w:rPr>
        <w:t>.  Willful neglect of prevailing standar</w:t>
      </w:r>
      <w:r w:rsidR="00BF7536">
        <w:rPr>
          <w:rFonts w:ascii="Times New Roman" w:eastAsia="Times New Roman" w:hAnsi="Times New Roman" w:cs="Times New Roman"/>
          <w:bCs/>
        </w:rPr>
        <w:t>ds places</w:t>
      </w:r>
      <w:r w:rsidR="00053D65">
        <w:rPr>
          <w:rFonts w:ascii="Times New Roman" w:eastAsia="Times New Roman" w:hAnsi="Times New Roman" w:cs="Times New Roman"/>
          <w:bCs/>
        </w:rPr>
        <w:t xml:space="preserve"> at </w:t>
      </w:r>
      <w:r w:rsidR="00BF7536">
        <w:rPr>
          <w:rFonts w:ascii="Times New Roman" w:eastAsia="Times New Roman" w:hAnsi="Times New Roman" w:cs="Times New Roman"/>
          <w:bCs/>
        </w:rPr>
        <w:t xml:space="preserve">serious </w:t>
      </w:r>
      <w:r w:rsidR="00053D65">
        <w:rPr>
          <w:rFonts w:ascii="Times New Roman" w:eastAsia="Times New Roman" w:hAnsi="Times New Roman" w:cs="Times New Roman"/>
          <w:bCs/>
        </w:rPr>
        <w:t>risk</w:t>
      </w:r>
      <w:r>
        <w:rPr>
          <w:rFonts w:ascii="Times New Roman" w:eastAsia="Times New Roman" w:hAnsi="Times New Roman" w:cs="Times New Roman"/>
          <w:bCs/>
        </w:rPr>
        <w:t xml:space="preserve"> patient autonomy and informed </w:t>
      </w:r>
      <w:r w:rsidR="00053D65">
        <w:rPr>
          <w:rFonts w:ascii="Times New Roman" w:eastAsia="Times New Roman" w:hAnsi="Times New Roman" w:cs="Times New Roman"/>
          <w:bCs/>
        </w:rPr>
        <w:t xml:space="preserve">consent to medical treatment in immigration detention centers.  The poor quality and lack of adequate medical resources in immigration </w:t>
      </w:r>
      <w:r w:rsidR="00053D65">
        <w:rPr>
          <w:rFonts w:ascii="Times New Roman" w:eastAsia="Times New Roman" w:hAnsi="Times New Roman" w:cs="Times New Roman"/>
          <w:bCs/>
        </w:rPr>
        <w:lastRenderedPageBreak/>
        <w:t>detention facilities is unlawful</w:t>
      </w:r>
      <w:r w:rsidR="00BF7536">
        <w:rPr>
          <w:rFonts w:ascii="Times New Roman" w:eastAsia="Times New Roman" w:hAnsi="Times New Roman" w:cs="Times New Roman"/>
          <w:bCs/>
        </w:rPr>
        <w:t>; conditions continue to remain the same even while domestic standards may exist to protect the rights of detainees.</w:t>
      </w:r>
    </w:p>
    <w:p w14:paraId="4538C5D4" w14:textId="77777777" w:rsidR="001977BF" w:rsidRDefault="00B276C3" w:rsidP="003F6BD8">
      <w:pPr>
        <w:spacing w:before="100" w:beforeAutospacing="1" w:after="100" w:afterAutospacing="1"/>
        <w:jc w:val="center"/>
        <w:outlineLvl w:val="2"/>
        <w:rPr>
          <w:rFonts w:ascii="Times New Roman" w:eastAsia="Times New Roman" w:hAnsi="Times New Roman" w:cs="Times New Roman"/>
          <w:bCs/>
        </w:rPr>
      </w:pPr>
      <w:r>
        <w:rPr>
          <w:rFonts w:ascii="Times New Roman" w:eastAsia="Times New Roman" w:hAnsi="Times New Roman" w:cs="Times New Roman"/>
          <w:b/>
          <w:bCs/>
        </w:rPr>
        <w:t>The Scope of Separation</w:t>
      </w:r>
      <w:r w:rsidR="003F6BD8">
        <w:rPr>
          <w:rFonts w:ascii="Times New Roman" w:eastAsia="Times New Roman" w:hAnsi="Times New Roman" w:cs="Times New Roman"/>
          <w:b/>
          <w:bCs/>
        </w:rPr>
        <w:t xml:space="preserve"> in Immigration Detention</w:t>
      </w:r>
    </w:p>
    <w:p w14:paraId="001E8564" w14:textId="77777777" w:rsidR="00F94906" w:rsidRDefault="006E2D40" w:rsidP="00201789">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Another major issue related</w:t>
      </w:r>
      <w:r w:rsidR="00201789">
        <w:rPr>
          <w:rFonts w:ascii="Times New Roman" w:eastAsia="Times New Roman" w:hAnsi="Times New Roman" w:cs="Times New Roman"/>
          <w:bCs/>
        </w:rPr>
        <w:t xml:space="preserve"> to </w:t>
      </w:r>
      <w:r>
        <w:rPr>
          <w:rFonts w:ascii="Times New Roman" w:eastAsia="Times New Roman" w:hAnsi="Times New Roman" w:cs="Times New Roman"/>
          <w:bCs/>
        </w:rPr>
        <w:t xml:space="preserve">healthcare standards </w:t>
      </w:r>
      <w:r w:rsidR="00A8351D">
        <w:rPr>
          <w:rFonts w:ascii="Times New Roman" w:eastAsia="Times New Roman" w:hAnsi="Times New Roman" w:cs="Times New Roman"/>
          <w:bCs/>
        </w:rPr>
        <w:t>in immigration detention concerns</w:t>
      </w:r>
      <w:r>
        <w:rPr>
          <w:rFonts w:ascii="Times New Roman" w:eastAsia="Times New Roman" w:hAnsi="Times New Roman" w:cs="Times New Roman"/>
          <w:bCs/>
        </w:rPr>
        <w:t xml:space="preserve"> the condition and treatment of </w:t>
      </w:r>
      <w:r w:rsidR="00201789">
        <w:rPr>
          <w:rFonts w:ascii="Times New Roman" w:eastAsia="Times New Roman" w:hAnsi="Times New Roman" w:cs="Times New Roman"/>
          <w:bCs/>
        </w:rPr>
        <w:t>individu</w:t>
      </w:r>
      <w:r>
        <w:rPr>
          <w:rFonts w:ascii="Times New Roman" w:eastAsia="Times New Roman" w:hAnsi="Times New Roman" w:cs="Times New Roman"/>
          <w:bCs/>
        </w:rPr>
        <w:t>als with disabilities</w:t>
      </w:r>
      <w:r w:rsidR="00A8351D">
        <w:rPr>
          <w:rFonts w:ascii="Times New Roman" w:eastAsia="Times New Roman" w:hAnsi="Times New Roman" w:cs="Times New Roman"/>
          <w:bCs/>
        </w:rPr>
        <w:t>; these individuals</w:t>
      </w:r>
      <w:r>
        <w:rPr>
          <w:rFonts w:ascii="Times New Roman" w:eastAsia="Times New Roman" w:hAnsi="Times New Roman" w:cs="Times New Roman"/>
          <w:bCs/>
        </w:rPr>
        <w:t xml:space="preserve"> are</w:t>
      </w:r>
      <w:r w:rsidR="00201789">
        <w:rPr>
          <w:rFonts w:ascii="Times New Roman" w:eastAsia="Times New Roman" w:hAnsi="Times New Roman" w:cs="Times New Roman"/>
          <w:bCs/>
        </w:rPr>
        <w:t xml:space="preserve"> often placed in solitary confinement</w:t>
      </w:r>
      <w:r w:rsidR="00A8351D">
        <w:rPr>
          <w:rFonts w:ascii="Times New Roman" w:eastAsia="Times New Roman" w:hAnsi="Times New Roman" w:cs="Times New Roman"/>
          <w:bCs/>
        </w:rPr>
        <w:t xml:space="preserve"> in lieu of </w:t>
      </w:r>
      <w:r w:rsidR="00F94906">
        <w:rPr>
          <w:rFonts w:ascii="Times New Roman" w:eastAsia="Times New Roman" w:hAnsi="Times New Roman" w:cs="Times New Roman"/>
          <w:bCs/>
        </w:rPr>
        <w:t xml:space="preserve">receiving </w:t>
      </w:r>
      <w:r w:rsidR="00A8351D">
        <w:rPr>
          <w:rFonts w:ascii="Times New Roman" w:eastAsia="Times New Roman" w:hAnsi="Times New Roman" w:cs="Times New Roman"/>
          <w:bCs/>
        </w:rPr>
        <w:t>mental health treatment</w:t>
      </w:r>
      <w:r w:rsidR="00F94906">
        <w:rPr>
          <w:rFonts w:ascii="Times New Roman" w:eastAsia="Times New Roman" w:hAnsi="Times New Roman" w:cs="Times New Roman"/>
          <w:bCs/>
        </w:rPr>
        <w:t xml:space="preserve"> and this</w:t>
      </w:r>
      <w:r w:rsidR="00201789">
        <w:rPr>
          <w:rFonts w:ascii="Times New Roman" w:eastAsia="Times New Roman" w:hAnsi="Times New Roman" w:cs="Times New Roman"/>
          <w:bCs/>
        </w:rPr>
        <w:t xml:space="preserve"> results in further deterioration of their </w:t>
      </w:r>
      <w:r>
        <w:rPr>
          <w:rFonts w:ascii="Times New Roman" w:eastAsia="Times New Roman" w:hAnsi="Times New Roman" w:cs="Times New Roman"/>
          <w:bCs/>
        </w:rPr>
        <w:t xml:space="preserve">physical and </w:t>
      </w:r>
      <w:r w:rsidR="00201789">
        <w:rPr>
          <w:rFonts w:ascii="Times New Roman" w:eastAsia="Times New Roman" w:hAnsi="Times New Roman" w:cs="Times New Roman"/>
          <w:bCs/>
        </w:rPr>
        <w:t>mental health.</w:t>
      </w:r>
      <w:r w:rsidR="00A8351D">
        <w:rPr>
          <w:rStyle w:val="FootnoteReference"/>
          <w:rFonts w:ascii="Times New Roman" w:eastAsia="Times New Roman" w:hAnsi="Times New Roman" w:cs="Times New Roman"/>
          <w:bCs/>
        </w:rPr>
        <w:footnoteReference w:id="22"/>
      </w:r>
      <w:r w:rsidR="00201789">
        <w:rPr>
          <w:rFonts w:ascii="Times New Roman" w:eastAsia="Times New Roman" w:hAnsi="Times New Roman" w:cs="Times New Roman"/>
          <w:bCs/>
        </w:rPr>
        <w:t xml:space="preserve">  </w:t>
      </w:r>
    </w:p>
    <w:p w14:paraId="6B05E035" w14:textId="3FA4918A" w:rsidR="00850C51" w:rsidRDefault="00F94906" w:rsidP="00201789">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Additionally, w</w:t>
      </w:r>
      <w:r w:rsidR="007C6CE5">
        <w:rPr>
          <w:rFonts w:ascii="Times New Roman" w:eastAsia="Times New Roman" w:hAnsi="Times New Roman" w:cs="Times New Roman"/>
          <w:bCs/>
        </w:rPr>
        <w:t>hile the use of separation or segregation varies by facility, “separation” usually refers to designated housing units that are kept “separate from the general population.”</w:t>
      </w:r>
      <w:r w:rsidR="007C6CE5">
        <w:rPr>
          <w:rStyle w:val="FootnoteReference"/>
          <w:rFonts w:ascii="Times New Roman" w:eastAsia="Times New Roman" w:hAnsi="Times New Roman" w:cs="Times New Roman"/>
          <w:bCs/>
        </w:rPr>
        <w:footnoteReference w:id="23"/>
      </w:r>
      <w:r w:rsidR="007C6CE5">
        <w:rPr>
          <w:rFonts w:ascii="Times New Roman" w:eastAsia="Times New Roman" w:hAnsi="Times New Roman" w:cs="Times New Roman"/>
          <w:bCs/>
        </w:rPr>
        <w:t xml:space="preserve"> </w:t>
      </w:r>
      <w:r w:rsidR="006E2D40">
        <w:rPr>
          <w:rFonts w:ascii="Times New Roman" w:eastAsia="Times New Roman" w:hAnsi="Times New Roman" w:cs="Times New Roman"/>
          <w:bCs/>
        </w:rPr>
        <w:t xml:space="preserve"> </w:t>
      </w:r>
      <w:r w:rsidR="00DD422B">
        <w:rPr>
          <w:rFonts w:ascii="Times New Roman" w:eastAsia="Times New Roman" w:hAnsi="Times New Roman" w:cs="Times New Roman"/>
          <w:bCs/>
        </w:rPr>
        <w:t xml:space="preserve">The </w:t>
      </w:r>
      <w:proofErr w:type="gramStart"/>
      <w:r>
        <w:rPr>
          <w:rFonts w:ascii="Times New Roman" w:eastAsia="Times New Roman" w:hAnsi="Times New Roman" w:cs="Times New Roman"/>
          <w:bCs/>
        </w:rPr>
        <w:t>use of administrative and disciplinary forms of separation as well as the use of solitary confinement are</w:t>
      </w:r>
      <w:proofErr w:type="gramEnd"/>
      <w:r w:rsidR="00DD422B">
        <w:rPr>
          <w:rFonts w:ascii="Times New Roman" w:eastAsia="Times New Roman" w:hAnsi="Times New Roman" w:cs="Times New Roman"/>
          <w:bCs/>
        </w:rPr>
        <w:t xml:space="preserve"> current</w:t>
      </w:r>
      <w:r w:rsidR="00CB4EFF">
        <w:rPr>
          <w:rFonts w:ascii="Times New Roman" w:eastAsia="Times New Roman" w:hAnsi="Times New Roman" w:cs="Times New Roman"/>
          <w:bCs/>
        </w:rPr>
        <w:t>ly practiced</w:t>
      </w:r>
      <w:r w:rsidR="00020F29">
        <w:rPr>
          <w:rFonts w:ascii="Times New Roman" w:eastAsia="Times New Roman" w:hAnsi="Times New Roman" w:cs="Times New Roman"/>
          <w:bCs/>
        </w:rPr>
        <w:t xml:space="preserve"> within </w:t>
      </w:r>
      <w:r w:rsidR="00C15387">
        <w:rPr>
          <w:rFonts w:ascii="Times New Roman" w:eastAsia="Times New Roman" w:hAnsi="Times New Roman" w:cs="Times New Roman"/>
          <w:bCs/>
        </w:rPr>
        <w:t xml:space="preserve">immigration detention centers.  </w:t>
      </w:r>
      <w:r w:rsidR="00020F29">
        <w:rPr>
          <w:rFonts w:ascii="Times New Roman" w:eastAsia="Times New Roman" w:hAnsi="Times New Roman" w:cs="Times New Roman"/>
          <w:bCs/>
        </w:rPr>
        <w:t>Administrative segregation or separation is</w:t>
      </w:r>
      <w:r w:rsidR="00850C51">
        <w:rPr>
          <w:rFonts w:ascii="Times New Roman" w:eastAsia="Times New Roman" w:hAnsi="Times New Roman" w:cs="Times New Roman"/>
          <w:bCs/>
        </w:rPr>
        <w:t>:</w:t>
      </w:r>
    </w:p>
    <w:p w14:paraId="2E0A2F55" w14:textId="47BBB150" w:rsidR="001977BF" w:rsidRDefault="00850C51" w:rsidP="00C15387">
      <w:pPr>
        <w:spacing w:before="100" w:beforeAutospacing="1" w:after="100" w:afterAutospacing="1"/>
        <w:ind w:left="720" w:firstLine="60"/>
        <w:outlineLvl w:val="2"/>
        <w:rPr>
          <w:rFonts w:ascii="Times New Roman" w:eastAsia="Times New Roman" w:hAnsi="Times New Roman" w:cs="Times New Roman"/>
          <w:bCs/>
        </w:rPr>
      </w:pPr>
      <w:r w:rsidRPr="00C15387">
        <w:rPr>
          <w:rFonts w:ascii="Times New Roman" w:eastAsia="Times New Roman" w:hAnsi="Times New Roman" w:cs="Times New Roman"/>
          <w:bCs/>
          <w:sz w:val="22"/>
          <w:szCs w:val="22"/>
        </w:rPr>
        <w:t>[N]on-punitive [and] used when the continued presence of the detainee in the general population would pose a threat to self, staff, other detainees, property, or the security or orderly operation of the facility […] ICE also places detainees who need “protective custody” […] and those with medical conditions [in administrative segregation].</w:t>
      </w:r>
      <w:r w:rsidRPr="00C15387">
        <w:rPr>
          <w:rStyle w:val="FootnoteReference"/>
          <w:rFonts w:ascii="Times New Roman" w:eastAsia="Times New Roman" w:hAnsi="Times New Roman" w:cs="Times New Roman"/>
          <w:bCs/>
          <w:sz w:val="22"/>
          <w:szCs w:val="22"/>
        </w:rPr>
        <w:footnoteReference w:id="24"/>
      </w:r>
    </w:p>
    <w:p w14:paraId="03410CD2" w14:textId="77777777" w:rsidR="00680808" w:rsidRDefault="00850C51" w:rsidP="001977BF">
      <w:pPr>
        <w:spacing w:before="100" w:beforeAutospacing="1" w:after="100" w:afterAutospacing="1"/>
        <w:outlineLvl w:val="2"/>
        <w:rPr>
          <w:rFonts w:ascii="Times New Roman" w:eastAsia="Times New Roman" w:hAnsi="Times New Roman" w:cs="Times New Roman"/>
          <w:bCs/>
        </w:rPr>
      </w:pPr>
      <w:r>
        <w:rPr>
          <w:rFonts w:ascii="Times New Roman" w:eastAsia="Times New Roman" w:hAnsi="Times New Roman" w:cs="Times New Roman"/>
          <w:bCs/>
        </w:rPr>
        <w:t>Disciplinary segregation or separation is “used to separate individuals who have violated a facility rule,” and while</w:t>
      </w:r>
      <w:r w:rsidR="00C15387">
        <w:rPr>
          <w:rFonts w:ascii="Times New Roman" w:eastAsia="Times New Roman" w:hAnsi="Times New Roman" w:cs="Times New Roman"/>
          <w:bCs/>
        </w:rPr>
        <w:t xml:space="preserve"> ICE standards allow placement in disciplinary separation after a hearing, detainees can be placed in this type of separation for a “range” of behaviors from “having an extra snack” to acting violently towards detention center staff and other detainees.</w:t>
      </w:r>
      <w:r w:rsidR="00C15387">
        <w:rPr>
          <w:rStyle w:val="FootnoteReference"/>
          <w:rFonts w:ascii="Times New Roman" w:eastAsia="Times New Roman" w:hAnsi="Times New Roman" w:cs="Times New Roman"/>
          <w:bCs/>
        </w:rPr>
        <w:footnoteReference w:id="25"/>
      </w:r>
      <w:r w:rsidR="00DD422B">
        <w:rPr>
          <w:rFonts w:ascii="Times New Roman" w:eastAsia="Times New Roman" w:hAnsi="Times New Roman" w:cs="Times New Roman"/>
          <w:bCs/>
        </w:rPr>
        <w:t xml:space="preserve">  Finally, solitary confinement cells, which hold detainees in total or near-total isolation in a small space for 23 hours a day with little or no human contact, can be located within administrative or disciplinary separation facilities.</w:t>
      </w:r>
      <w:r w:rsidR="00DD422B">
        <w:rPr>
          <w:rStyle w:val="FootnoteReference"/>
          <w:rFonts w:ascii="Times New Roman" w:eastAsia="Times New Roman" w:hAnsi="Times New Roman" w:cs="Times New Roman"/>
          <w:bCs/>
        </w:rPr>
        <w:footnoteReference w:id="26"/>
      </w:r>
      <w:r w:rsidR="00DD422B">
        <w:rPr>
          <w:rFonts w:ascii="Times New Roman" w:eastAsia="Times New Roman" w:hAnsi="Times New Roman" w:cs="Times New Roman"/>
          <w:bCs/>
        </w:rPr>
        <w:t xml:space="preserve">  </w:t>
      </w:r>
    </w:p>
    <w:p w14:paraId="733363C1" w14:textId="1E017CE3" w:rsidR="00850C51" w:rsidRDefault="00DD422B" w:rsidP="00680808">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While domestic standards and international standards permit the use of separation</w:t>
      </w:r>
      <w:r w:rsidR="00680808">
        <w:rPr>
          <w:rFonts w:ascii="Times New Roman" w:eastAsia="Times New Roman" w:hAnsi="Times New Roman" w:cs="Times New Roman"/>
          <w:bCs/>
        </w:rPr>
        <w:t xml:space="preserve"> in certain circumstances</w:t>
      </w:r>
      <w:r w:rsidR="00935F5D">
        <w:rPr>
          <w:rFonts w:ascii="Times New Roman" w:eastAsia="Times New Roman" w:hAnsi="Times New Roman" w:cs="Times New Roman"/>
          <w:bCs/>
        </w:rPr>
        <w:t>, the use of</w:t>
      </w:r>
      <w:r w:rsidR="00680808">
        <w:rPr>
          <w:rFonts w:ascii="Times New Roman" w:eastAsia="Times New Roman" w:hAnsi="Times New Roman" w:cs="Times New Roman"/>
          <w:bCs/>
        </w:rPr>
        <w:t xml:space="preserve"> solitary confinement has been somewhat limited due to its punitive nature and detrimental effects on an individual’s physical and mental conditions.</w:t>
      </w:r>
      <w:r w:rsidR="00680808">
        <w:rPr>
          <w:rStyle w:val="FootnoteReference"/>
          <w:rFonts w:ascii="Times New Roman" w:eastAsia="Times New Roman" w:hAnsi="Times New Roman" w:cs="Times New Roman"/>
          <w:bCs/>
        </w:rPr>
        <w:footnoteReference w:id="27"/>
      </w:r>
    </w:p>
    <w:p w14:paraId="3637758E" w14:textId="08A59B3C" w:rsidR="00DD422B" w:rsidRPr="00DD422B" w:rsidRDefault="00DD422B" w:rsidP="00DD422B">
      <w:pPr>
        <w:spacing w:before="100" w:beforeAutospacing="1" w:after="100" w:afterAutospacing="1"/>
        <w:jc w:val="center"/>
        <w:outlineLvl w:val="2"/>
        <w:rPr>
          <w:rFonts w:ascii="Times New Roman" w:eastAsia="Times New Roman" w:hAnsi="Times New Roman" w:cs="Times New Roman"/>
          <w:bCs/>
          <w:u w:val="single"/>
        </w:rPr>
      </w:pPr>
      <w:r w:rsidRPr="00DD422B">
        <w:rPr>
          <w:rFonts w:ascii="Times New Roman" w:eastAsia="Times New Roman" w:hAnsi="Times New Roman" w:cs="Times New Roman"/>
          <w:bCs/>
          <w:u w:val="single"/>
        </w:rPr>
        <w:t>Domestic Standards</w:t>
      </w:r>
    </w:p>
    <w:p w14:paraId="2327B092" w14:textId="49EF32EA" w:rsidR="00AA2824" w:rsidRDefault="00AA2824" w:rsidP="00DD422B">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 xml:space="preserve">Newer ICE standards attempt to improve protections for immigration detainees, but the language in section 4.3 </w:t>
      </w:r>
      <w:r w:rsidR="00F94906">
        <w:rPr>
          <w:rFonts w:ascii="Times New Roman" w:eastAsia="Times New Roman" w:hAnsi="Times New Roman" w:cs="Times New Roman"/>
          <w:bCs/>
        </w:rPr>
        <w:t xml:space="preserve">recommends “short stays” in </w:t>
      </w:r>
      <w:r w:rsidR="007153AE">
        <w:rPr>
          <w:rFonts w:ascii="Times New Roman" w:eastAsia="Times New Roman" w:hAnsi="Times New Roman" w:cs="Times New Roman"/>
          <w:bCs/>
        </w:rPr>
        <w:t>“</w:t>
      </w:r>
      <w:r w:rsidR="00F94906">
        <w:rPr>
          <w:rFonts w:ascii="Times New Roman" w:eastAsia="Times New Roman" w:hAnsi="Times New Roman" w:cs="Times New Roman"/>
          <w:bCs/>
        </w:rPr>
        <w:t>Special Management Units</w:t>
      </w:r>
      <w:r w:rsidR="007153AE">
        <w:rPr>
          <w:rFonts w:ascii="Times New Roman" w:eastAsia="Times New Roman" w:hAnsi="Times New Roman" w:cs="Times New Roman"/>
          <w:bCs/>
        </w:rPr>
        <w:t>”</w:t>
      </w:r>
      <w:r w:rsidR="00F94906">
        <w:rPr>
          <w:rFonts w:ascii="Times New Roman" w:eastAsia="Times New Roman" w:hAnsi="Times New Roman" w:cs="Times New Roman"/>
          <w:bCs/>
        </w:rPr>
        <w:t xml:space="preserve"> and authorizes “medical isolation” for those detainees who demonstrate a “high risk for violent behavior because of a mental health condition” and the oversight of continued </w:t>
      </w:r>
      <w:r w:rsidR="00F94906">
        <w:rPr>
          <w:rFonts w:ascii="Times New Roman" w:eastAsia="Times New Roman" w:hAnsi="Times New Roman" w:cs="Times New Roman"/>
          <w:bCs/>
        </w:rPr>
        <w:lastRenderedPageBreak/>
        <w:t>medical isolation is the respons</w:t>
      </w:r>
      <w:r w:rsidR="007153AE">
        <w:rPr>
          <w:rFonts w:ascii="Times New Roman" w:eastAsia="Times New Roman" w:hAnsi="Times New Roman" w:cs="Times New Roman"/>
          <w:bCs/>
        </w:rPr>
        <w:t>ibility of those who authorize medical isolation.</w:t>
      </w:r>
      <w:r w:rsidR="007153AE">
        <w:rPr>
          <w:rStyle w:val="FootnoteReference"/>
          <w:rFonts w:ascii="Times New Roman" w:eastAsia="Times New Roman" w:hAnsi="Times New Roman" w:cs="Times New Roman"/>
          <w:bCs/>
        </w:rPr>
        <w:footnoteReference w:id="28"/>
      </w:r>
      <w:r w:rsidR="007153AE">
        <w:rPr>
          <w:rFonts w:ascii="Times New Roman" w:eastAsia="Times New Roman" w:hAnsi="Times New Roman" w:cs="Times New Roman"/>
          <w:bCs/>
        </w:rPr>
        <w:t xml:space="preserve">  While ICE does not permit the use of medical isolation as a punitive measure, it is important to note that “Special Management Units” have been recognized by advocacy</w:t>
      </w:r>
      <w:r w:rsidR="00E769F6">
        <w:rPr>
          <w:rFonts w:ascii="Times New Roman" w:eastAsia="Times New Roman" w:hAnsi="Times New Roman" w:cs="Times New Roman"/>
          <w:bCs/>
        </w:rPr>
        <w:t xml:space="preserve"> organizations as a means “used to hold detainees in solitary confinement.”</w:t>
      </w:r>
      <w:r w:rsidR="00E769F6">
        <w:rPr>
          <w:rStyle w:val="FootnoteReference"/>
          <w:rFonts w:ascii="Times New Roman" w:eastAsia="Times New Roman" w:hAnsi="Times New Roman" w:cs="Times New Roman"/>
          <w:bCs/>
        </w:rPr>
        <w:footnoteReference w:id="29"/>
      </w:r>
    </w:p>
    <w:p w14:paraId="64EEBA9B" w14:textId="180E9639" w:rsidR="00C15387" w:rsidRDefault="00DD422B" w:rsidP="00DD422B">
      <w:pPr>
        <w:spacing w:before="100" w:beforeAutospacing="1" w:after="100" w:afterAutospacing="1"/>
        <w:ind w:firstLine="720"/>
        <w:outlineLvl w:val="2"/>
        <w:rPr>
          <w:rFonts w:ascii="Times New Roman" w:eastAsia="Times New Roman" w:hAnsi="Times New Roman" w:cs="Times New Roman"/>
          <w:bCs/>
        </w:rPr>
      </w:pPr>
      <w:r>
        <w:rPr>
          <w:rFonts w:ascii="Times New Roman" w:eastAsia="Times New Roman" w:hAnsi="Times New Roman" w:cs="Times New Roman"/>
          <w:bCs/>
        </w:rPr>
        <w:t>The ABA limits the use of solitary confinement in situations involving detainees with serious mental illness while it permits “separation” of detainees from the general population for “administrative a</w:t>
      </w:r>
      <w:r w:rsidR="00CB4EFF">
        <w:rPr>
          <w:rFonts w:ascii="Times New Roman" w:eastAsia="Times New Roman" w:hAnsi="Times New Roman" w:cs="Times New Roman"/>
          <w:bCs/>
        </w:rPr>
        <w:t>nd disciplinary reasons” as well as</w:t>
      </w:r>
      <w:r>
        <w:rPr>
          <w:rFonts w:ascii="Times New Roman" w:eastAsia="Times New Roman" w:hAnsi="Times New Roman" w:cs="Times New Roman"/>
          <w:bCs/>
        </w:rPr>
        <w:t xml:space="preserve"> “medical reasons.”</w:t>
      </w:r>
      <w:r>
        <w:rPr>
          <w:rStyle w:val="FootnoteReference"/>
          <w:rFonts w:ascii="Times New Roman" w:eastAsia="Times New Roman" w:hAnsi="Times New Roman" w:cs="Times New Roman"/>
          <w:bCs/>
        </w:rPr>
        <w:footnoteReference w:id="30"/>
      </w:r>
      <w:r>
        <w:rPr>
          <w:rFonts w:ascii="Times New Roman" w:eastAsia="Times New Roman" w:hAnsi="Times New Roman" w:cs="Times New Roman"/>
          <w:bCs/>
        </w:rPr>
        <w:t xml:space="preserve">  </w:t>
      </w:r>
      <w:r w:rsidR="00C15387">
        <w:rPr>
          <w:rFonts w:ascii="Times New Roman" w:eastAsia="Times New Roman" w:hAnsi="Times New Roman" w:cs="Times New Roman"/>
          <w:bCs/>
        </w:rPr>
        <w:t>Personal security provisions recommend protecting vulnerable detainees from physical and psychological abuse and the health care provisions fall within the administrative and disciplinary separation section to address the care of detainees with mental illness and mental health issues.  Under the latter health care provision sections the standards explicitly state:</w:t>
      </w:r>
    </w:p>
    <w:p w14:paraId="3579B2F6" w14:textId="77777777" w:rsidR="00C15387" w:rsidRPr="00CB4EFF" w:rsidRDefault="00C15387" w:rsidP="00C15387">
      <w:pPr>
        <w:spacing w:before="100" w:beforeAutospacing="1" w:after="100" w:afterAutospacing="1"/>
        <w:ind w:firstLine="720"/>
        <w:outlineLvl w:val="2"/>
        <w:rPr>
          <w:rFonts w:ascii="Times New Roman" w:eastAsia="Times New Roman" w:hAnsi="Times New Roman" w:cs="Times New Roman"/>
          <w:bCs/>
          <w:sz w:val="20"/>
          <w:szCs w:val="20"/>
        </w:rPr>
      </w:pPr>
      <w:r w:rsidRPr="00CB4EFF">
        <w:rPr>
          <w:rFonts w:ascii="Times New Roman" w:eastAsia="Times New Roman" w:hAnsi="Times New Roman" w:cs="Times New Roman"/>
          <w:bCs/>
          <w:sz w:val="20"/>
          <w:szCs w:val="20"/>
        </w:rPr>
        <w:t>3. Separation should not be used as treatment for mental health issues.</w:t>
      </w:r>
    </w:p>
    <w:p w14:paraId="18D35B5D" w14:textId="2F4C8F04" w:rsidR="00C15387" w:rsidRPr="00CB4EFF" w:rsidRDefault="00C15387" w:rsidP="00CB4EFF">
      <w:pPr>
        <w:spacing w:before="100" w:beforeAutospacing="1" w:after="100" w:afterAutospacing="1"/>
        <w:ind w:left="720"/>
        <w:outlineLvl w:val="2"/>
        <w:rPr>
          <w:rFonts w:ascii="Times New Roman" w:eastAsia="Times New Roman" w:hAnsi="Times New Roman" w:cs="Times New Roman"/>
          <w:bCs/>
          <w:sz w:val="20"/>
          <w:szCs w:val="20"/>
        </w:rPr>
      </w:pPr>
      <w:r w:rsidRPr="00CB4EFF">
        <w:rPr>
          <w:rFonts w:ascii="Times New Roman" w:eastAsia="Times New Roman" w:hAnsi="Times New Roman" w:cs="Times New Roman"/>
          <w:bCs/>
          <w:sz w:val="20"/>
          <w:szCs w:val="20"/>
        </w:rPr>
        <w:t>4. Residents with serious mental illness should not be placed in prolonged solitary confinement.</w:t>
      </w:r>
      <w:r w:rsidRPr="00CB4EFF">
        <w:rPr>
          <w:rStyle w:val="FootnoteReference"/>
          <w:rFonts w:ascii="Times New Roman" w:eastAsia="Times New Roman" w:hAnsi="Times New Roman" w:cs="Times New Roman"/>
          <w:bCs/>
          <w:sz w:val="20"/>
          <w:szCs w:val="20"/>
        </w:rPr>
        <w:footnoteReference w:id="31"/>
      </w:r>
    </w:p>
    <w:p w14:paraId="7F64CA02" w14:textId="1C2B2CC7" w:rsidR="00C15387" w:rsidRDefault="00C15387" w:rsidP="00C15387">
      <w:pPr>
        <w:spacing w:before="100" w:beforeAutospacing="1" w:after="100" w:afterAutospacing="1"/>
        <w:outlineLvl w:val="2"/>
        <w:rPr>
          <w:rFonts w:ascii="Times New Roman" w:eastAsia="Times New Roman" w:hAnsi="Times New Roman" w:cs="Times New Roman"/>
          <w:bCs/>
        </w:rPr>
      </w:pPr>
      <w:r>
        <w:rPr>
          <w:rFonts w:ascii="Times New Roman" w:eastAsia="Times New Roman" w:hAnsi="Times New Roman" w:cs="Times New Roman"/>
          <w:bCs/>
        </w:rPr>
        <w:t xml:space="preserve">However, </w:t>
      </w:r>
      <w:r w:rsidR="00460342">
        <w:rPr>
          <w:rFonts w:ascii="Times New Roman" w:eastAsia="Times New Roman" w:hAnsi="Times New Roman" w:cs="Times New Roman"/>
          <w:bCs/>
        </w:rPr>
        <w:t xml:space="preserve">similar to the effect of ICE policies, </w:t>
      </w:r>
      <w:r>
        <w:rPr>
          <w:rFonts w:ascii="Times New Roman" w:eastAsia="Times New Roman" w:hAnsi="Times New Roman" w:cs="Times New Roman"/>
          <w:bCs/>
        </w:rPr>
        <w:t xml:space="preserve">the ABA’s stance on the overall use of solitary confinement remains ambiguous. </w:t>
      </w:r>
    </w:p>
    <w:p w14:paraId="0F5172ED" w14:textId="42B2A060" w:rsidR="00460342" w:rsidRDefault="00460342" w:rsidP="00460342">
      <w:pPr>
        <w:spacing w:before="100" w:beforeAutospacing="1" w:after="100" w:afterAutospacing="1"/>
        <w:jc w:val="center"/>
        <w:outlineLvl w:val="2"/>
        <w:rPr>
          <w:rFonts w:ascii="Times New Roman" w:eastAsia="Times New Roman" w:hAnsi="Times New Roman" w:cs="Times New Roman"/>
          <w:bCs/>
          <w:u w:val="single"/>
        </w:rPr>
      </w:pPr>
      <w:r w:rsidRPr="00460342">
        <w:rPr>
          <w:rFonts w:ascii="Times New Roman" w:eastAsia="Times New Roman" w:hAnsi="Times New Roman" w:cs="Times New Roman"/>
          <w:bCs/>
          <w:u w:val="single"/>
        </w:rPr>
        <w:t>International Standards</w:t>
      </w:r>
    </w:p>
    <w:p w14:paraId="610D76C0" w14:textId="54E217A6" w:rsidR="00961F89" w:rsidRDefault="00A50D49" w:rsidP="00961F89">
      <w:pPr>
        <w:spacing w:before="100" w:beforeAutospacing="1" w:after="100" w:afterAutospacing="1"/>
        <w:outlineLvl w:val="2"/>
        <w:rPr>
          <w:rFonts w:ascii="Times New Roman" w:eastAsia="Times New Roman" w:hAnsi="Times New Roman" w:cs="Times New Roman"/>
          <w:bCs/>
        </w:rPr>
      </w:pPr>
      <w:r>
        <w:rPr>
          <w:rFonts w:ascii="Times New Roman" w:eastAsia="Times New Roman" w:hAnsi="Times New Roman" w:cs="Times New Roman"/>
          <w:bCs/>
        </w:rPr>
        <w:tab/>
        <w:t>In its 2010 report, The Inter-American Commission on Human Rights castigated the United States for using solitary confinement in immigration detention; the commission emphasized its concern for “vulnerable immigration detainees, including […] mentally challenged detainees” and reasoned that “the use of confinement to protect a threatened populatio</w:t>
      </w:r>
      <w:r w:rsidR="00961F89">
        <w:rPr>
          <w:rFonts w:ascii="Times New Roman" w:eastAsia="Times New Roman" w:hAnsi="Times New Roman" w:cs="Times New Roman"/>
          <w:bCs/>
        </w:rPr>
        <w:t>n amounts to a punitive measure,” and provided specifications regarding involuntary seclusion and solitary confinement involving individuals with disabilities:</w:t>
      </w:r>
    </w:p>
    <w:p w14:paraId="1F002247" w14:textId="29DCD50C" w:rsidR="00CF5088" w:rsidRPr="00961F89" w:rsidRDefault="00CF5088" w:rsidP="00961F89">
      <w:pPr>
        <w:spacing w:before="100" w:beforeAutospacing="1" w:after="100" w:afterAutospacing="1"/>
        <w:ind w:left="720"/>
        <w:outlineLvl w:val="2"/>
        <w:rPr>
          <w:rFonts w:ascii="Times New Roman" w:eastAsia="Times New Roman" w:hAnsi="Times New Roman" w:cs="Times New Roman"/>
          <w:bCs/>
          <w:sz w:val="22"/>
          <w:szCs w:val="22"/>
        </w:rPr>
      </w:pPr>
      <w:r w:rsidRPr="00961F89">
        <w:rPr>
          <w:rFonts w:ascii="Times New Roman" w:hAnsi="Times New Roman" w:cs="Times New Roman"/>
          <w:color w:val="000000"/>
          <w:sz w:val="22"/>
          <w:szCs w:val="22"/>
        </w:rPr>
        <w:t>In cases of involuntary seclusion of persons with mental disabilities it shall be ensured that the measure is authorized by a competent physician; carried out in accordance with officially approved procedures; recorded in the patient’s individual medical record; and immediately notified to their family or legal representatives. Persons with mental disabilities who are secluded shall be under the care and supervision of qualified medical personnel.</w:t>
      </w:r>
      <w:r w:rsidR="00961F89">
        <w:rPr>
          <w:rStyle w:val="FootnoteReference"/>
          <w:rFonts w:ascii="Times New Roman" w:hAnsi="Times New Roman" w:cs="Times New Roman"/>
          <w:color w:val="000000"/>
          <w:sz w:val="22"/>
          <w:szCs w:val="22"/>
        </w:rPr>
        <w:footnoteReference w:id="32"/>
      </w:r>
    </w:p>
    <w:p w14:paraId="456024AF" w14:textId="67937DF1" w:rsidR="004765FF" w:rsidRDefault="001B6BBF" w:rsidP="001977BF">
      <w:pPr>
        <w:rPr>
          <w:rFonts w:ascii="Times New Roman" w:hAnsi="Times New Roman" w:cs="Times New Roman"/>
        </w:rPr>
      </w:pPr>
      <w:r>
        <w:tab/>
      </w:r>
      <w:r w:rsidRPr="001B6BBF">
        <w:rPr>
          <w:rFonts w:ascii="Times New Roman" w:hAnsi="Times New Roman" w:cs="Times New Roman"/>
        </w:rPr>
        <w:t>Solitary conf</w:t>
      </w:r>
      <w:r>
        <w:rPr>
          <w:rFonts w:ascii="Times New Roman" w:hAnsi="Times New Roman" w:cs="Times New Roman"/>
        </w:rPr>
        <w:t xml:space="preserve">inement constitutes torture and international laws such as the U.N. Convention against Torture and other Cruel, Inhuman or Degrading Treatment or Punishment (CAT), the Universal Declaration of Human Right (UDHR), and </w:t>
      </w:r>
      <w:r>
        <w:rPr>
          <w:rFonts w:ascii="Times New Roman" w:hAnsi="Times New Roman" w:cs="Times New Roman"/>
        </w:rPr>
        <w:lastRenderedPageBreak/>
        <w:t>International Covenant on Civil and Political Rights (ICCPR) all forbid “torture and other cruel, inhuman or degrading treatment or punishment for the purpose of upholding respect and dignity for humanity.</w:t>
      </w:r>
      <w:r>
        <w:rPr>
          <w:rStyle w:val="FootnoteReference"/>
          <w:rFonts w:ascii="Times New Roman" w:hAnsi="Times New Roman" w:cs="Times New Roman"/>
        </w:rPr>
        <w:footnoteReference w:id="33"/>
      </w:r>
      <w:r w:rsidR="00CB4EFF">
        <w:rPr>
          <w:rFonts w:ascii="Times New Roman" w:hAnsi="Times New Roman" w:cs="Times New Roman"/>
        </w:rPr>
        <w:t xml:space="preserve">  </w:t>
      </w:r>
      <w:r w:rsidR="004765FF">
        <w:rPr>
          <w:rFonts w:ascii="Times New Roman" w:hAnsi="Times New Roman" w:cs="Times New Roman"/>
        </w:rPr>
        <w:t>The European Committee for the Prevention of Torture (CPT) stipulates “that immigration detainees should not be held in prison in the first place,” and due to the difference in reason for detaining immigrants as opposed to detainees with criminal convictions, immigration detainees “should be restricted in their freedom of movement within detention facilities as little as possible.”</w:t>
      </w:r>
      <w:r w:rsidR="004765FF">
        <w:rPr>
          <w:rStyle w:val="FootnoteReference"/>
          <w:rFonts w:ascii="Times New Roman" w:hAnsi="Times New Roman" w:cs="Times New Roman"/>
        </w:rPr>
        <w:footnoteReference w:id="34"/>
      </w:r>
    </w:p>
    <w:p w14:paraId="74727B4C" w14:textId="3EB053EF" w:rsidR="00025183" w:rsidRDefault="00CB4EFF" w:rsidP="00025183">
      <w:pPr>
        <w:rPr>
          <w:rFonts w:ascii="Times" w:eastAsia="Times New Roman" w:hAnsi="Times" w:cs="Times New Roman"/>
        </w:rPr>
      </w:pPr>
      <w:r>
        <w:rPr>
          <w:rFonts w:ascii="Times New Roman" w:hAnsi="Times New Roman" w:cs="Times New Roman"/>
        </w:rPr>
        <w:tab/>
        <w:t>T</w:t>
      </w:r>
      <w:r w:rsidR="004765FF">
        <w:rPr>
          <w:rFonts w:ascii="Times New Roman" w:hAnsi="Times New Roman" w:cs="Times New Roman"/>
        </w:rPr>
        <w:t xml:space="preserve">he U.N. Special Rapporteur on Torture and Other Cruel, Inhuman or Degrading Treatment or </w:t>
      </w:r>
      <w:r w:rsidR="00025183">
        <w:rPr>
          <w:rFonts w:ascii="Times New Roman" w:hAnsi="Times New Roman" w:cs="Times New Roman"/>
        </w:rPr>
        <w:t>Punishment, Juan Mendez, investigated the use of solitary confinement and compiled an interim report in 2011.  He concluded that “</w:t>
      </w:r>
      <w:r w:rsidR="00025183" w:rsidRPr="00025183">
        <w:rPr>
          <w:rFonts w:ascii="Times" w:eastAsia="Times New Roman" w:hAnsi="Times" w:cs="Times New Roman"/>
        </w:rPr>
        <w:t xml:space="preserve">the social isolation and sensory deprivation that is imposed by some States does, in some circumstances, amount to cruel, inhuman and degrading treatment and </w:t>
      </w:r>
      <w:r w:rsidR="00025183">
        <w:rPr>
          <w:rFonts w:ascii="Times" w:eastAsia="Times New Roman" w:hAnsi="Times" w:cs="Times New Roman"/>
        </w:rPr>
        <w:t>even torture,</w:t>
      </w:r>
      <w:r w:rsidR="00025183" w:rsidRPr="00025183">
        <w:rPr>
          <w:rFonts w:ascii="Times" w:eastAsia="Times New Roman" w:hAnsi="Times" w:cs="Times New Roman"/>
        </w:rPr>
        <w:t>”</w:t>
      </w:r>
      <w:r w:rsidR="00025183">
        <w:rPr>
          <w:rFonts w:ascii="Times" w:eastAsia="Times New Roman" w:hAnsi="Times" w:cs="Times New Roman"/>
        </w:rPr>
        <w:t xml:space="preserve"> and while he did not call for a ban of solitary confinement, he provided limitations and guidelines for its restricted use:</w:t>
      </w:r>
    </w:p>
    <w:p w14:paraId="2CD962F9" w14:textId="77777777" w:rsidR="00025183" w:rsidRDefault="00025183" w:rsidP="00025183">
      <w:pPr>
        <w:rPr>
          <w:rFonts w:ascii="Times" w:eastAsia="Times New Roman" w:hAnsi="Times" w:cs="Times New Roman"/>
        </w:rPr>
      </w:pPr>
    </w:p>
    <w:p w14:paraId="1818775D" w14:textId="417FBFB3" w:rsidR="00025183" w:rsidRPr="00025183" w:rsidRDefault="00025183" w:rsidP="0002518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A1718"/>
          <w:sz w:val="22"/>
          <w:szCs w:val="22"/>
        </w:rPr>
      </w:pPr>
      <w:r w:rsidRPr="00025183">
        <w:rPr>
          <w:rFonts w:ascii="Times New Roman" w:hAnsi="Times New Roman" w:cs="Times New Roman"/>
          <w:color w:val="1A1718"/>
          <w:sz w:val="22"/>
          <w:szCs w:val="22"/>
        </w:rPr>
        <w:t>A prisoner or detainee should never be kept in solitary confinement for longer than 15 days, the limit between “solitary confinement” and “prolonged solitary confinement,” at which point some of the harmful psychological effects of solitary confinement can become irreversible</w:t>
      </w:r>
    </w:p>
    <w:p w14:paraId="7DA7EEAB" w14:textId="31C0DF2F" w:rsidR="00025183" w:rsidRPr="00025183" w:rsidRDefault="00025183" w:rsidP="0002518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A1718"/>
          <w:sz w:val="22"/>
          <w:szCs w:val="22"/>
        </w:rPr>
      </w:pPr>
      <w:r w:rsidRPr="00025183">
        <w:rPr>
          <w:rFonts w:ascii="Times New Roman" w:hAnsi="Times New Roman" w:cs="Times New Roman"/>
          <w:color w:val="1A1718"/>
          <w:sz w:val="22"/>
          <w:szCs w:val="22"/>
        </w:rPr>
        <w:t>If solitary confinement is to be used, it must be only in exceptional circumstances; its duration must be as short as possible, and for a definite term that is communicated to the detainee</w:t>
      </w:r>
    </w:p>
    <w:p w14:paraId="519B46F8" w14:textId="46D00F28" w:rsidR="00025183" w:rsidRPr="00025183" w:rsidRDefault="00025183" w:rsidP="0002518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A1718"/>
          <w:sz w:val="22"/>
          <w:szCs w:val="22"/>
        </w:rPr>
      </w:pPr>
      <w:r w:rsidRPr="00025183">
        <w:rPr>
          <w:rFonts w:ascii="Times New Roman" w:hAnsi="Times New Roman" w:cs="Times New Roman"/>
          <w:color w:val="1A1718"/>
          <w:sz w:val="22"/>
          <w:szCs w:val="22"/>
        </w:rPr>
        <w:t>Solitary confinement should only be imposed as a last resort, where less restrictive measures could not be employed for disciplinary purposes</w:t>
      </w:r>
    </w:p>
    <w:p w14:paraId="4CFE78D0" w14:textId="312DB075" w:rsidR="00025183" w:rsidRPr="00025183" w:rsidRDefault="00025183" w:rsidP="0002518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A1718"/>
          <w:sz w:val="22"/>
          <w:szCs w:val="22"/>
        </w:rPr>
      </w:pPr>
      <w:r w:rsidRPr="00025183">
        <w:rPr>
          <w:rFonts w:ascii="Times New Roman" w:hAnsi="Times New Roman" w:cs="Times New Roman"/>
          <w:color w:val="1A1718"/>
          <w:sz w:val="22"/>
          <w:szCs w:val="22"/>
        </w:rPr>
        <w:t>While it may be necessary to segregate detainees with mental disabilities from the general population, solitary confinement should never be used on the mentally ill</w:t>
      </w:r>
    </w:p>
    <w:p w14:paraId="2AB6A61A" w14:textId="0A0179FB" w:rsidR="00025183" w:rsidRPr="00025183" w:rsidRDefault="00025183" w:rsidP="0002518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A1718"/>
          <w:sz w:val="22"/>
          <w:szCs w:val="22"/>
        </w:rPr>
      </w:pPr>
      <w:r w:rsidRPr="00025183">
        <w:rPr>
          <w:rFonts w:ascii="Times New Roman" w:hAnsi="Times New Roman" w:cs="Times New Roman"/>
          <w:color w:val="1A1718"/>
          <w:sz w:val="22"/>
          <w:szCs w:val="22"/>
        </w:rPr>
        <w:t>Qualified medical and mental health personnel who are independent from and accountable to an outside authority must regularly review the medical and mental health condition of detainees in solitary confinement, both at the initiation of solitary confinement and on a daily basis thereafter.</w:t>
      </w:r>
      <w:r>
        <w:rPr>
          <w:rStyle w:val="FootnoteReference"/>
          <w:rFonts w:ascii="Times New Roman" w:hAnsi="Times New Roman" w:cs="Times New Roman"/>
          <w:color w:val="1A1718"/>
          <w:sz w:val="22"/>
          <w:szCs w:val="22"/>
        </w:rPr>
        <w:footnoteReference w:id="35"/>
      </w:r>
    </w:p>
    <w:p w14:paraId="2CF5B6A2" w14:textId="749F7565" w:rsidR="004765FF" w:rsidRDefault="004765FF" w:rsidP="001977BF">
      <w:pPr>
        <w:rPr>
          <w:rFonts w:ascii="Times New Roman" w:hAnsi="Times New Roman" w:cs="Times New Roman"/>
        </w:rPr>
      </w:pPr>
    </w:p>
    <w:p w14:paraId="5393B211" w14:textId="77777777" w:rsidR="00CE411F" w:rsidRPr="00F94906" w:rsidRDefault="00CE411F" w:rsidP="00CE411F">
      <w:pPr>
        <w:spacing w:before="100" w:beforeAutospacing="1" w:after="100" w:afterAutospacing="1"/>
        <w:ind w:left="720"/>
        <w:jc w:val="center"/>
        <w:outlineLvl w:val="2"/>
        <w:rPr>
          <w:rFonts w:ascii="Times New Roman" w:hAnsi="Times New Roman" w:cs="Times New Roman"/>
          <w:color w:val="000000"/>
          <w:u w:val="single"/>
        </w:rPr>
      </w:pPr>
      <w:r w:rsidRPr="00F94906">
        <w:rPr>
          <w:rFonts w:ascii="Times New Roman" w:hAnsi="Times New Roman" w:cs="Times New Roman"/>
          <w:color w:val="000000"/>
          <w:u w:val="single"/>
        </w:rPr>
        <w:t>Conditions that Violate Both Domestic and International Standards</w:t>
      </w:r>
    </w:p>
    <w:p w14:paraId="476187C1" w14:textId="00CF78EE" w:rsidR="002C6056" w:rsidRDefault="00396AEB" w:rsidP="002C6056">
      <w:pPr>
        <w:ind w:firstLine="720"/>
        <w:rPr>
          <w:rFonts w:ascii="Times New Roman" w:eastAsia="Times New Roman" w:hAnsi="Times New Roman" w:cs="Times New Roman"/>
        </w:rPr>
      </w:pPr>
      <w:r>
        <w:rPr>
          <w:rFonts w:ascii="Times New Roman" w:hAnsi="Times New Roman" w:cs="Times New Roman"/>
        </w:rPr>
        <w:t>A common thread running through both domestic and international policies is the ban on the use of solitary confinement on detainees experiencing mental illness.  Additionally, when utilized, standards require a limitation of the use of this practice to specific circumstances and</w:t>
      </w:r>
      <w:r w:rsidR="002C6056">
        <w:rPr>
          <w:rFonts w:ascii="Times New Roman" w:hAnsi="Times New Roman" w:cs="Times New Roman"/>
        </w:rPr>
        <w:t xml:space="preserve"> a short duration.  However, recent reports of immigration detainee experiences demonstrate violations of these standards and detention centers continue to use solitary confinement unlawfully. The reality of the situation is that i</w:t>
      </w:r>
      <w:r w:rsidR="002C6056">
        <w:rPr>
          <w:rFonts w:ascii="Times New Roman" w:eastAsia="Times New Roman" w:hAnsi="Times New Roman" w:cs="Times New Roman"/>
          <w:bCs/>
        </w:rPr>
        <w:t xml:space="preserve">ndividuals with mental disabilities are often placed in solitary confinement, which results in further deterioration of their mental health.  </w:t>
      </w:r>
      <w:r w:rsidR="002C6056" w:rsidRPr="001B07A2">
        <w:rPr>
          <w:rFonts w:ascii="Times New Roman" w:eastAsia="Times New Roman" w:hAnsi="Times New Roman" w:cs="Times New Roman"/>
        </w:rPr>
        <w:t xml:space="preserve">The kind of isolation that characterizes solitary confinement conditions in immigrant detention has severe psychological and physical effects upon individuals, and such effects are worsened “if the person has previously been subject to torture and abuse, as is often the case with many immigration </w:t>
      </w:r>
      <w:r w:rsidR="002C6056" w:rsidRPr="001B07A2">
        <w:rPr>
          <w:rFonts w:ascii="Times New Roman" w:eastAsia="Times New Roman" w:hAnsi="Times New Roman" w:cs="Times New Roman"/>
        </w:rPr>
        <w:lastRenderedPageBreak/>
        <w:t>and national security detainees.”</w:t>
      </w:r>
      <w:r w:rsidR="002C6056">
        <w:rPr>
          <w:rStyle w:val="FootnoteReference"/>
          <w:rFonts w:ascii="Times New Roman" w:eastAsia="Times New Roman" w:hAnsi="Times New Roman" w:cs="Times New Roman"/>
        </w:rPr>
        <w:footnoteReference w:id="36"/>
      </w:r>
      <w:r w:rsidR="002C6056">
        <w:rPr>
          <w:rFonts w:ascii="Times New Roman" w:eastAsia="Times New Roman" w:hAnsi="Times New Roman" w:cs="Times New Roman"/>
        </w:rPr>
        <w:t xml:space="preserve">  Just a few days after a period of solitary confinement, individuals can suffer various negative health effects “</w:t>
      </w:r>
      <w:r w:rsidR="002C6056" w:rsidRPr="001A14F9">
        <w:rPr>
          <w:rFonts w:ascii="Times New Roman" w:eastAsia="Times New Roman" w:hAnsi="Times New Roman" w:cs="Times New Roman"/>
        </w:rPr>
        <w:t>ranging from insomnia and confusion to hallucinations and psychosis</w:t>
      </w:r>
      <w:r w:rsidR="002C6056">
        <w:rPr>
          <w:rFonts w:ascii="Times New Roman" w:eastAsia="Times New Roman" w:hAnsi="Times New Roman" w:cs="Times New Roman"/>
        </w:rPr>
        <w:t>” and each additional day in solitary greatly increases the risk to the individual.</w:t>
      </w:r>
      <w:r w:rsidR="002C6056">
        <w:rPr>
          <w:rStyle w:val="FootnoteReference"/>
          <w:rFonts w:ascii="Times New Roman" w:eastAsia="Times New Roman" w:hAnsi="Times New Roman" w:cs="Times New Roman"/>
        </w:rPr>
        <w:footnoteReference w:id="37"/>
      </w:r>
      <w:r w:rsidR="002C6056">
        <w:rPr>
          <w:rFonts w:ascii="Times New Roman" w:eastAsia="Times New Roman" w:hAnsi="Times New Roman" w:cs="Times New Roman"/>
        </w:rPr>
        <w:t xml:space="preserve">  Despite these known health effects, many non-citizens are held in solitary confinement for extended or indefinite periods.</w:t>
      </w:r>
      <w:r w:rsidR="002C6056">
        <w:rPr>
          <w:rStyle w:val="FootnoteReference"/>
          <w:rFonts w:ascii="Times New Roman" w:eastAsia="Times New Roman" w:hAnsi="Times New Roman" w:cs="Times New Roman"/>
        </w:rPr>
        <w:footnoteReference w:id="38"/>
      </w:r>
      <w:r w:rsidR="002C6056">
        <w:rPr>
          <w:rFonts w:ascii="Times New Roman" w:eastAsia="Times New Roman" w:hAnsi="Times New Roman" w:cs="Times New Roman"/>
        </w:rPr>
        <w:t xml:space="preserve">  </w:t>
      </w:r>
    </w:p>
    <w:p w14:paraId="1800F7DC" w14:textId="0660E899" w:rsidR="00713C35" w:rsidRDefault="004C62CE" w:rsidP="002C6056">
      <w:pPr>
        <w:ind w:firstLine="720"/>
        <w:rPr>
          <w:rFonts w:ascii="Times New Roman" w:eastAsia="Times New Roman" w:hAnsi="Times New Roman" w:cs="Times New Roman"/>
        </w:rPr>
      </w:pPr>
      <w:r>
        <w:rPr>
          <w:rFonts w:ascii="Times New Roman" w:eastAsia="Times New Roman" w:hAnsi="Times New Roman" w:cs="Times New Roman"/>
        </w:rPr>
        <w:t>Examples of the use of solitary confinement exhibit violations of every standard.  At a center in North Georgia, for example, t</w:t>
      </w:r>
      <w:r w:rsidR="00713C35">
        <w:rPr>
          <w:rFonts w:ascii="Times New Roman" w:eastAsia="Times New Roman" w:hAnsi="Times New Roman" w:cs="Times New Roman"/>
        </w:rPr>
        <w:t>he threat of solitar</w:t>
      </w:r>
      <w:r>
        <w:rPr>
          <w:rFonts w:ascii="Times New Roman" w:eastAsia="Times New Roman" w:hAnsi="Times New Roman" w:cs="Times New Roman"/>
        </w:rPr>
        <w:t>y confinement instilled so much fear in immigration detainees with mental illness that many of them refrained from reporting their symptoms to medical staff.</w:t>
      </w:r>
      <w:r>
        <w:rPr>
          <w:rStyle w:val="FootnoteReference"/>
          <w:rFonts w:ascii="Times New Roman" w:eastAsia="Times New Roman" w:hAnsi="Times New Roman" w:cs="Times New Roman"/>
        </w:rPr>
        <w:footnoteReference w:id="39"/>
      </w:r>
      <w:r w:rsidR="00CB4EFF">
        <w:rPr>
          <w:rFonts w:ascii="Times New Roman" w:eastAsia="Times New Roman" w:hAnsi="Times New Roman" w:cs="Times New Roman"/>
        </w:rPr>
        <w:t xml:space="preserve">  Not only</w:t>
      </w:r>
      <w:r w:rsidR="00C671BC">
        <w:rPr>
          <w:rFonts w:ascii="Times New Roman" w:eastAsia="Times New Roman" w:hAnsi="Times New Roman" w:cs="Times New Roman"/>
        </w:rPr>
        <w:t xml:space="preserve"> does this characterize </w:t>
      </w:r>
      <w:proofErr w:type="gramStart"/>
      <w:r w:rsidR="00C671BC">
        <w:rPr>
          <w:rFonts w:ascii="Times New Roman" w:eastAsia="Times New Roman" w:hAnsi="Times New Roman" w:cs="Times New Roman"/>
        </w:rPr>
        <w:t>a disrespect</w:t>
      </w:r>
      <w:proofErr w:type="gramEnd"/>
      <w:r w:rsidR="00C671BC">
        <w:rPr>
          <w:rFonts w:ascii="Times New Roman" w:eastAsia="Times New Roman" w:hAnsi="Times New Roman" w:cs="Times New Roman"/>
        </w:rPr>
        <w:t xml:space="preserve"> for human dignity, but the threat of solitary confinement serves as a punitive measure and deters vulnerable detainees from gaining the access to the medical care they need and every policy prohibits this kind of implementation of isolation.  </w:t>
      </w:r>
      <w:r w:rsidR="00355A35">
        <w:rPr>
          <w:rFonts w:ascii="Times New Roman" w:eastAsia="Times New Roman" w:hAnsi="Times New Roman" w:cs="Times New Roman"/>
        </w:rPr>
        <w:t>In a Pennsylvania center, immigration detainees were screened to determine their vulnerability to suicide attempts, and were more often than not, determined to be suicidal due to unsophisticated screening methods and then placed in solitary confinement until a follow-up examination occurred.</w:t>
      </w:r>
      <w:r w:rsidR="00355A35">
        <w:rPr>
          <w:rStyle w:val="FootnoteReference"/>
          <w:rFonts w:ascii="Times New Roman" w:eastAsia="Times New Roman" w:hAnsi="Times New Roman" w:cs="Times New Roman"/>
        </w:rPr>
        <w:footnoteReference w:id="40"/>
      </w:r>
      <w:r w:rsidR="00355A35">
        <w:rPr>
          <w:rFonts w:ascii="Times New Roman" w:eastAsia="Times New Roman" w:hAnsi="Times New Roman" w:cs="Times New Roman"/>
        </w:rPr>
        <w:t xml:space="preserve">  Furthermore, l</w:t>
      </w:r>
      <w:r w:rsidR="00C671BC">
        <w:rPr>
          <w:rFonts w:ascii="Times New Roman" w:eastAsia="Times New Roman" w:hAnsi="Times New Roman" w:cs="Times New Roman"/>
        </w:rPr>
        <w:t>acking the ability to care for detainees with mental illness, the staff at another detention center in Georgia, placed detainees with mental illness in segregation, thereby violating both domestic and international standards and laws that specifically forbid the placement of mentally disabled detainees in such conditions.</w:t>
      </w:r>
      <w:r w:rsidR="00355A35">
        <w:rPr>
          <w:rStyle w:val="FootnoteReference"/>
          <w:rFonts w:ascii="Times New Roman" w:eastAsia="Times New Roman" w:hAnsi="Times New Roman" w:cs="Times New Roman"/>
        </w:rPr>
        <w:footnoteReference w:id="41"/>
      </w:r>
      <w:r w:rsidR="00C671BC">
        <w:rPr>
          <w:rFonts w:ascii="Times New Roman" w:eastAsia="Times New Roman" w:hAnsi="Times New Roman" w:cs="Times New Roman"/>
        </w:rPr>
        <w:t xml:space="preserve"> </w:t>
      </w:r>
    </w:p>
    <w:p w14:paraId="73B7A42D" w14:textId="77777777" w:rsidR="00496908" w:rsidRDefault="00C50985" w:rsidP="00713C35">
      <w:pPr>
        <w:rPr>
          <w:rFonts w:ascii="Times New Roman" w:eastAsia="Times New Roman" w:hAnsi="Times New Roman" w:cs="Times New Roman"/>
        </w:rPr>
      </w:pPr>
      <w:r>
        <w:rPr>
          <w:rFonts w:ascii="Times New Roman" w:eastAsia="Times New Roman" w:hAnsi="Times New Roman" w:cs="Times New Roman"/>
        </w:rPr>
        <w:tab/>
      </w:r>
    </w:p>
    <w:p w14:paraId="7B8C1681" w14:textId="01DF7835" w:rsidR="00713C35" w:rsidRDefault="00763004" w:rsidP="00496908">
      <w:pPr>
        <w:ind w:firstLine="720"/>
        <w:rPr>
          <w:rFonts w:ascii="Times New Roman" w:eastAsia="Times New Roman" w:hAnsi="Times New Roman" w:cs="Times New Roman"/>
        </w:rPr>
      </w:pPr>
      <w:r>
        <w:rPr>
          <w:rFonts w:ascii="Times New Roman" w:eastAsia="Times New Roman" w:hAnsi="Times New Roman" w:cs="Times New Roman"/>
        </w:rPr>
        <w:t>On a final note, t</w:t>
      </w:r>
      <w:r w:rsidR="00C50985">
        <w:rPr>
          <w:rFonts w:ascii="Times New Roman" w:eastAsia="Times New Roman" w:hAnsi="Times New Roman" w:cs="Times New Roman"/>
        </w:rPr>
        <w:t>he prevailing inadequacies of healthcare in the immigration detention system range from lack of care and poor quality to nonconsensual intervention that includes such practices as forced sedation and solitary confinement.  Immigration detainees are inherently vulnerable given language and culture barriers that prevent them from advocating effectively for themselves, and those detainees suffering from ment</w:t>
      </w:r>
      <w:r w:rsidR="00A64621">
        <w:rPr>
          <w:rFonts w:ascii="Times New Roman" w:eastAsia="Times New Roman" w:hAnsi="Times New Roman" w:cs="Times New Roman"/>
        </w:rPr>
        <w:t>al illness left untreated are made even more disadvantaged and vulnerable by the terrible conditions of their detention.  C</w:t>
      </w:r>
      <w:r w:rsidR="00C50985">
        <w:rPr>
          <w:rFonts w:ascii="Times New Roman" w:eastAsia="Times New Roman" w:hAnsi="Times New Roman" w:cs="Times New Roman"/>
        </w:rPr>
        <w:t>learly</w:t>
      </w:r>
      <w:r w:rsidR="00A64621">
        <w:rPr>
          <w:rFonts w:ascii="Times New Roman" w:eastAsia="Times New Roman" w:hAnsi="Times New Roman" w:cs="Times New Roman"/>
        </w:rPr>
        <w:t>,</w:t>
      </w:r>
      <w:r w:rsidR="00C50985">
        <w:rPr>
          <w:rFonts w:ascii="Times New Roman" w:eastAsia="Times New Roman" w:hAnsi="Times New Roman" w:cs="Times New Roman"/>
        </w:rPr>
        <w:t xml:space="preserve"> the conditions of immigration detention in the U.S. do not comply with either national or interna</w:t>
      </w:r>
      <w:r w:rsidR="00A64621">
        <w:rPr>
          <w:rFonts w:ascii="Times New Roman" w:eastAsia="Times New Roman" w:hAnsi="Times New Roman" w:cs="Times New Roman"/>
        </w:rPr>
        <w:t xml:space="preserve">tional human rights standards. As long as the U.S. fails to provide detainees basic and fundamental rights and continues to operate the immigration detention system as a punitive construct, the system will continue to perpetuate gross </w:t>
      </w:r>
      <w:r w:rsidR="00496908">
        <w:rPr>
          <w:rFonts w:ascii="Times New Roman" w:eastAsia="Times New Roman" w:hAnsi="Times New Roman" w:cs="Times New Roman"/>
        </w:rPr>
        <w:t xml:space="preserve">violations against vulnerable people. </w:t>
      </w:r>
    </w:p>
    <w:p w14:paraId="4848480D" w14:textId="77777777" w:rsidR="00713C35" w:rsidRPr="001B6BBF" w:rsidRDefault="00713C35" w:rsidP="00713C35">
      <w:pPr>
        <w:rPr>
          <w:rFonts w:ascii="Times New Roman" w:hAnsi="Times New Roman" w:cs="Times New Roman"/>
        </w:rPr>
      </w:pPr>
    </w:p>
    <w:sectPr w:rsidR="00713C35" w:rsidRPr="001B6BBF" w:rsidSect="002C2BB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FAC34" w14:textId="77777777" w:rsidR="00D84C5C" w:rsidRDefault="00D84C5C" w:rsidP="00525614">
      <w:r>
        <w:separator/>
      </w:r>
    </w:p>
  </w:endnote>
  <w:endnote w:type="continuationSeparator" w:id="0">
    <w:p w14:paraId="35E57F09" w14:textId="77777777" w:rsidR="00D84C5C" w:rsidRDefault="00D84C5C" w:rsidP="0052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DB286" w14:textId="77777777" w:rsidR="00D84C5C" w:rsidRDefault="00D84C5C" w:rsidP="00525614">
      <w:r>
        <w:separator/>
      </w:r>
    </w:p>
  </w:footnote>
  <w:footnote w:type="continuationSeparator" w:id="0">
    <w:p w14:paraId="3DA5ED96" w14:textId="77777777" w:rsidR="00D84C5C" w:rsidRDefault="00D84C5C" w:rsidP="00525614">
      <w:r>
        <w:continuationSeparator/>
      </w:r>
    </w:p>
  </w:footnote>
  <w:footnote w:id="1">
    <w:p w14:paraId="249CEADC" w14:textId="77777777" w:rsidR="00BF7536" w:rsidRPr="00696701" w:rsidRDefault="00BF7536" w:rsidP="00525614">
      <w:pPr>
        <w:pStyle w:val="FootnoteText"/>
        <w:rPr>
          <w:sz w:val="20"/>
          <w:szCs w:val="20"/>
        </w:rPr>
      </w:pPr>
      <w:r w:rsidRPr="00571322">
        <w:rPr>
          <w:rStyle w:val="FootnoteReference"/>
        </w:rPr>
        <w:footnoteRef/>
      </w:r>
      <w:r w:rsidRPr="00571322">
        <w:t xml:space="preserve"> </w:t>
      </w:r>
      <w:proofErr w:type="gramStart"/>
      <w:r w:rsidRPr="00696701">
        <w:rPr>
          <w:smallCaps/>
          <w:sz w:val="20"/>
          <w:szCs w:val="20"/>
        </w:rPr>
        <w:t>ABA House of Delegates</w:t>
      </w:r>
      <w:r w:rsidRPr="00696701">
        <w:rPr>
          <w:sz w:val="20"/>
          <w:szCs w:val="20"/>
        </w:rPr>
        <w:t>, ABA Civil Immigration Detention Standards 1 (2012).</w:t>
      </w:r>
      <w:proofErr w:type="gramEnd"/>
    </w:p>
  </w:footnote>
  <w:footnote w:id="2">
    <w:p w14:paraId="32EABA83" w14:textId="77777777" w:rsidR="00BF7536" w:rsidRPr="00696701" w:rsidRDefault="00BF7536">
      <w:pPr>
        <w:pStyle w:val="FootnoteText"/>
        <w:rPr>
          <w:sz w:val="20"/>
          <w:szCs w:val="20"/>
        </w:rPr>
      </w:pPr>
      <w:r w:rsidRPr="00696701">
        <w:rPr>
          <w:rStyle w:val="FootnoteReference"/>
          <w:sz w:val="20"/>
          <w:szCs w:val="20"/>
        </w:rPr>
        <w:footnoteRef/>
      </w:r>
      <w:r w:rsidRPr="00696701">
        <w:rPr>
          <w:sz w:val="20"/>
          <w:szCs w:val="20"/>
        </w:rPr>
        <w:t xml:space="preserve"> </w:t>
      </w:r>
      <w:r>
        <w:rPr>
          <w:sz w:val="20"/>
          <w:szCs w:val="20"/>
        </w:rPr>
        <w:t>AMERICAN CIVIL LIBERTIES UNION (ACLU)</w:t>
      </w:r>
      <w:r w:rsidRPr="00696701">
        <w:rPr>
          <w:sz w:val="20"/>
          <w:szCs w:val="20"/>
        </w:rPr>
        <w:t xml:space="preserve">, Compounded Vulnerability: Neglect of Detainees with Disabilities in U.S. Immigration Facilities (2010) </w:t>
      </w:r>
      <w:r w:rsidRPr="00696701">
        <w:rPr>
          <w:i/>
          <w:sz w:val="20"/>
          <w:szCs w:val="20"/>
        </w:rPr>
        <w:t>available at</w:t>
      </w:r>
      <w:r w:rsidRPr="00696701">
        <w:rPr>
          <w:sz w:val="20"/>
          <w:szCs w:val="20"/>
        </w:rPr>
        <w:t xml:space="preserve"> http://www.aclu.org/blog/human-rights-immigrants-rights/compounded-vulnerability-neglect-detainees-disabilities-us.</w:t>
      </w:r>
    </w:p>
  </w:footnote>
  <w:footnote w:id="3">
    <w:p w14:paraId="7201FD17" w14:textId="77777777" w:rsidR="00BF7536" w:rsidRPr="00696701" w:rsidRDefault="00BF7536">
      <w:pPr>
        <w:pStyle w:val="FootnoteText"/>
        <w:rPr>
          <w:sz w:val="20"/>
          <w:szCs w:val="20"/>
        </w:rPr>
      </w:pPr>
      <w:r w:rsidRPr="00696701">
        <w:rPr>
          <w:rStyle w:val="FootnoteReference"/>
          <w:sz w:val="20"/>
          <w:szCs w:val="20"/>
        </w:rPr>
        <w:footnoteRef/>
      </w:r>
      <w:r w:rsidRPr="00696701">
        <w:rPr>
          <w:sz w:val="20"/>
          <w:szCs w:val="20"/>
        </w:rPr>
        <w:t xml:space="preserve"> </w:t>
      </w:r>
      <w:r w:rsidRPr="00696701">
        <w:rPr>
          <w:i/>
          <w:sz w:val="20"/>
          <w:szCs w:val="20"/>
        </w:rPr>
        <w:t>Id</w:t>
      </w:r>
      <w:r w:rsidRPr="00696701">
        <w:rPr>
          <w:sz w:val="20"/>
          <w:szCs w:val="20"/>
        </w:rPr>
        <w:t>.</w:t>
      </w:r>
    </w:p>
  </w:footnote>
  <w:footnote w:id="4">
    <w:p w14:paraId="515762D3" w14:textId="77777777" w:rsidR="00BF7536" w:rsidRPr="00696701" w:rsidRDefault="00BF7536" w:rsidP="00EB07D0">
      <w:pPr>
        <w:pStyle w:val="FootnoteText"/>
        <w:rPr>
          <w:sz w:val="20"/>
          <w:szCs w:val="20"/>
        </w:rPr>
      </w:pPr>
      <w:r>
        <w:rPr>
          <w:rStyle w:val="FootnoteReference"/>
        </w:rPr>
        <w:footnoteRef/>
      </w:r>
      <w:r>
        <w:t xml:space="preserve"> </w:t>
      </w:r>
      <w:r>
        <w:rPr>
          <w:rFonts w:eastAsia="Times New Roman" w:cs="Times New Roman"/>
          <w:bCs/>
          <w:sz w:val="20"/>
          <w:szCs w:val="20"/>
        </w:rPr>
        <w:t>IMMIGRATION AND CUSTOMS ENFORCEMENT (ICE), T</w:t>
      </w:r>
      <w:r w:rsidRPr="00696701">
        <w:rPr>
          <w:rFonts w:eastAsia="Times New Roman" w:cs="Times New Roman"/>
          <w:bCs/>
          <w:sz w:val="20"/>
          <w:szCs w:val="20"/>
        </w:rPr>
        <w:t xml:space="preserve">he 2011 Operations Manual Immigration and Customs Enforcement (ICE) Performance Based National Detention Standards (PBNDS) 277 (2011) [hereinafter ICE Detention Standards] </w:t>
      </w:r>
      <w:r w:rsidRPr="00696701">
        <w:rPr>
          <w:rFonts w:eastAsia="Times New Roman" w:cs="Times New Roman"/>
          <w:bCs/>
          <w:i/>
          <w:sz w:val="20"/>
          <w:szCs w:val="20"/>
        </w:rPr>
        <w:t>available at</w:t>
      </w:r>
      <w:r w:rsidRPr="00696701">
        <w:rPr>
          <w:rFonts w:eastAsia="Times New Roman" w:cs="Times New Roman"/>
          <w:bCs/>
          <w:sz w:val="20"/>
          <w:szCs w:val="20"/>
        </w:rPr>
        <w:t xml:space="preserve"> http://www.ice.gov/doclib/detention-standards/2011/medical_care.pdf.</w:t>
      </w:r>
    </w:p>
  </w:footnote>
  <w:footnote w:id="5">
    <w:p w14:paraId="20772214" w14:textId="77777777" w:rsidR="00BF7536" w:rsidRPr="00696701" w:rsidRDefault="00BF7536" w:rsidP="00EB07D0">
      <w:pPr>
        <w:pStyle w:val="FootnoteText"/>
        <w:rPr>
          <w:sz w:val="20"/>
          <w:szCs w:val="20"/>
        </w:rPr>
      </w:pPr>
      <w:r w:rsidRPr="00696701">
        <w:rPr>
          <w:rStyle w:val="FootnoteReference"/>
          <w:sz w:val="20"/>
          <w:szCs w:val="20"/>
        </w:rPr>
        <w:footnoteRef/>
      </w:r>
      <w:r w:rsidRPr="00696701">
        <w:rPr>
          <w:sz w:val="20"/>
          <w:szCs w:val="20"/>
        </w:rPr>
        <w:t xml:space="preserve"> </w:t>
      </w:r>
      <w:r w:rsidRPr="00696701">
        <w:rPr>
          <w:i/>
          <w:sz w:val="20"/>
          <w:szCs w:val="20"/>
        </w:rPr>
        <w:t>Id</w:t>
      </w:r>
      <w:r w:rsidRPr="00696701">
        <w:rPr>
          <w:sz w:val="20"/>
          <w:szCs w:val="20"/>
        </w:rPr>
        <w:t>.</w:t>
      </w:r>
    </w:p>
  </w:footnote>
  <w:footnote w:id="6">
    <w:p w14:paraId="1563228C" w14:textId="77777777" w:rsidR="00BF7536" w:rsidRPr="00696701" w:rsidRDefault="00BF7536" w:rsidP="00EB07D0">
      <w:pPr>
        <w:pStyle w:val="FootnoteText"/>
        <w:rPr>
          <w:sz w:val="20"/>
          <w:szCs w:val="20"/>
        </w:rPr>
      </w:pPr>
      <w:r w:rsidRPr="00696701">
        <w:rPr>
          <w:rStyle w:val="FootnoteReference"/>
          <w:sz w:val="20"/>
          <w:szCs w:val="20"/>
        </w:rPr>
        <w:footnoteRef/>
      </w:r>
      <w:r w:rsidRPr="00696701">
        <w:rPr>
          <w:sz w:val="20"/>
          <w:szCs w:val="20"/>
        </w:rPr>
        <w:t xml:space="preserve"> </w:t>
      </w:r>
      <w:r w:rsidRPr="00696701">
        <w:rPr>
          <w:i/>
          <w:sz w:val="20"/>
          <w:szCs w:val="20"/>
        </w:rPr>
        <w:t>Id</w:t>
      </w:r>
      <w:r w:rsidRPr="00696701">
        <w:rPr>
          <w:sz w:val="20"/>
          <w:szCs w:val="20"/>
        </w:rPr>
        <w:t>.</w:t>
      </w:r>
    </w:p>
  </w:footnote>
  <w:footnote w:id="7">
    <w:p w14:paraId="17312110" w14:textId="77777777" w:rsidR="00BF7536" w:rsidRPr="00696701" w:rsidRDefault="00BF7536" w:rsidP="00EB07D0">
      <w:pPr>
        <w:pStyle w:val="FootnoteText"/>
        <w:rPr>
          <w:sz w:val="20"/>
          <w:szCs w:val="20"/>
        </w:rPr>
      </w:pPr>
      <w:r w:rsidRPr="00696701">
        <w:rPr>
          <w:rStyle w:val="FootnoteReference"/>
          <w:sz w:val="20"/>
          <w:szCs w:val="20"/>
        </w:rPr>
        <w:footnoteRef/>
      </w:r>
      <w:r w:rsidRPr="00696701">
        <w:rPr>
          <w:sz w:val="20"/>
          <w:szCs w:val="20"/>
        </w:rPr>
        <w:t xml:space="preserve"> </w:t>
      </w:r>
      <w:proofErr w:type="gramStart"/>
      <w:r w:rsidRPr="00696701">
        <w:rPr>
          <w:i/>
          <w:sz w:val="20"/>
          <w:szCs w:val="20"/>
        </w:rPr>
        <w:t>Id</w:t>
      </w:r>
      <w:r w:rsidRPr="00696701">
        <w:rPr>
          <w:sz w:val="20"/>
          <w:szCs w:val="20"/>
        </w:rPr>
        <w:t xml:space="preserve"> at 4.</w:t>
      </w:r>
      <w:proofErr w:type="gramEnd"/>
    </w:p>
  </w:footnote>
  <w:footnote w:id="8">
    <w:p w14:paraId="52CE323C" w14:textId="77777777" w:rsidR="00BF7536" w:rsidRPr="00696701" w:rsidRDefault="00BF7536" w:rsidP="00EB07D0">
      <w:pPr>
        <w:pStyle w:val="FootnoteText"/>
        <w:rPr>
          <w:sz w:val="20"/>
          <w:szCs w:val="20"/>
        </w:rPr>
      </w:pPr>
      <w:r w:rsidRPr="00696701">
        <w:rPr>
          <w:rStyle w:val="FootnoteReference"/>
          <w:sz w:val="20"/>
          <w:szCs w:val="20"/>
        </w:rPr>
        <w:footnoteRef/>
      </w:r>
      <w:r w:rsidRPr="00696701">
        <w:rPr>
          <w:sz w:val="20"/>
          <w:szCs w:val="20"/>
        </w:rPr>
        <w:t xml:space="preserve"> </w:t>
      </w:r>
      <w:proofErr w:type="gramStart"/>
      <w:r w:rsidRPr="00696701">
        <w:rPr>
          <w:i/>
          <w:sz w:val="20"/>
          <w:szCs w:val="20"/>
        </w:rPr>
        <w:t>Id</w:t>
      </w:r>
      <w:r w:rsidRPr="00696701">
        <w:rPr>
          <w:sz w:val="20"/>
          <w:szCs w:val="20"/>
        </w:rPr>
        <w:t xml:space="preserve"> at 5.</w:t>
      </w:r>
      <w:proofErr w:type="gramEnd"/>
    </w:p>
  </w:footnote>
  <w:footnote w:id="9">
    <w:p w14:paraId="4B6A1651" w14:textId="77777777" w:rsidR="00BF7536" w:rsidRPr="00696701" w:rsidRDefault="00BF7536">
      <w:pPr>
        <w:pStyle w:val="FootnoteText"/>
        <w:rPr>
          <w:sz w:val="20"/>
          <w:szCs w:val="20"/>
        </w:rPr>
      </w:pPr>
      <w:r w:rsidRPr="00696701">
        <w:rPr>
          <w:rStyle w:val="FootnoteReference"/>
          <w:sz w:val="20"/>
          <w:szCs w:val="20"/>
        </w:rPr>
        <w:footnoteRef/>
      </w:r>
      <w:r w:rsidRPr="00696701">
        <w:rPr>
          <w:sz w:val="20"/>
          <w:szCs w:val="20"/>
        </w:rPr>
        <w:t xml:space="preserve"> </w:t>
      </w:r>
      <w:r>
        <w:rPr>
          <w:sz w:val="20"/>
          <w:szCs w:val="20"/>
        </w:rPr>
        <w:t>REPORT ON IMMIGRATION IN THE UNITED STATES: DETENTION AND DUE PROCESS 24-25 (INTER-AMERICAN COMMISSION ON HUMAN RIGHTS, Dec. 2010).</w:t>
      </w:r>
    </w:p>
  </w:footnote>
  <w:footnote w:id="10">
    <w:p w14:paraId="3FE6F831" w14:textId="77777777" w:rsidR="00BF7536" w:rsidRPr="00696701" w:rsidRDefault="00BF7536">
      <w:pPr>
        <w:pStyle w:val="FootnoteText"/>
        <w:rPr>
          <w:sz w:val="20"/>
          <w:szCs w:val="20"/>
        </w:rPr>
      </w:pPr>
      <w:r w:rsidRPr="00696701">
        <w:rPr>
          <w:rStyle w:val="FootnoteReference"/>
          <w:sz w:val="20"/>
          <w:szCs w:val="20"/>
        </w:rPr>
        <w:footnoteRef/>
      </w:r>
      <w:r w:rsidRPr="00696701">
        <w:rPr>
          <w:sz w:val="20"/>
          <w:szCs w:val="20"/>
        </w:rPr>
        <w:t xml:space="preserve"> </w:t>
      </w:r>
      <w:r w:rsidRPr="00696701">
        <w:rPr>
          <w:i/>
          <w:sz w:val="20"/>
          <w:szCs w:val="20"/>
        </w:rPr>
        <w:t>Id.</w:t>
      </w:r>
    </w:p>
  </w:footnote>
  <w:footnote w:id="11">
    <w:p w14:paraId="1ACC56AE" w14:textId="77777777" w:rsidR="00BF7536" w:rsidRDefault="00BF7536">
      <w:pPr>
        <w:pStyle w:val="FootnoteText"/>
      </w:pPr>
      <w:r w:rsidRPr="00696701">
        <w:rPr>
          <w:rStyle w:val="FootnoteReference"/>
          <w:sz w:val="20"/>
          <w:szCs w:val="20"/>
        </w:rPr>
        <w:footnoteRef/>
      </w:r>
      <w:r w:rsidRPr="00696701">
        <w:rPr>
          <w:sz w:val="20"/>
          <w:szCs w:val="20"/>
        </w:rPr>
        <w:t xml:space="preserve"> </w:t>
      </w:r>
      <w:proofErr w:type="gramStart"/>
      <w:r w:rsidRPr="00696701">
        <w:rPr>
          <w:i/>
          <w:sz w:val="20"/>
          <w:szCs w:val="20"/>
        </w:rPr>
        <w:t xml:space="preserve">Id </w:t>
      </w:r>
      <w:r w:rsidRPr="00696701">
        <w:rPr>
          <w:sz w:val="20"/>
          <w:szCs w:val="20"/>
        </w:rPr>
        <w:t>at 25.</w:t>
      </w:r>
      <w:proofErr w:type="gramEnd"/>
    </w:p>
  </w:footnote>
  <w:footnote w:id="12">
    <w:p w14:paraId="2C2613C0" w14:textId="77777777" w:rsidR="00BF7536" w:rsidRPr="005A42D2" w:rsidRDefault="00BF7536">
      <w:pPr>
        <w:pStyle w:val="FootnoteText"/>
        <w:rPr>
          <w:sz w:val="20"/>
          <w:szCs w:val="20"/>
        </w:rPr>
      </w:pPr>
      <w:r w:rsidRPr="005A42D2">
        <w:rPr>
          <w:rStyle w:val="FootnoteReference"/>
          <w:sz w:val="20"/>
          <w:szCs w:val="20"/>
        </w:rPr>
        <w:footnoteRef/>
      </w:r>
      <w:r w:rsidRPr="005A42D2">
        <w:rPr>
          <w:sz w:val="20"/>
          <w:szCs w:val="20"/>
        </w:rPr>
        <w:t xml:space="preserve"> </w:t>
      </w:r>
      <w:r w:rsidRPr="005A42D2">
        <w:rPr>
          <w:i/>
          <w:sz w:val="20"/>
          <w:szCs w:val="20"/>
        </w:rPr>
        <w:t>Id</w:t>
      </w:r>
      <w:r w:rsidRPr="005A42D2">
        <w:rPr>
          <w:sz w:val="20"/>
          <w:szCs w:val="20"/>
        </w:rPr>
        <w:t>.</w:t>
      </w:r>
    </w:p>
  </w:footnote>
  <w:footnote w:id="13">
    <w:p w14:paraId="4BD06B9D" w14:textId="77777777" w:rsidR="00BF7536" w:rsidRPr="005A42D2" w:rsidRDefault="00BF7536">
      <w:pPr>
        <w:pStyle w:val="FootnoteText"/>
        <w:rPr>
          <w:sz w:val="20"/>
          <w:szCs w:val="20"/>
        </w:rPr>
      </w:pPr>
      <w:r w:rsidRPr="005A42D2">
        <w:rPr>
          <w:rStyle w:val="FootnoteReference"/>
          <w:sz w:val="20"/>
          <w:szCs w:val="20"/>
        </w:rPr>
        <w:footnoteRef/>
      </w:r>
      <w:r w:rsidRPr="005A42D2">
        <w:rPr>
          <w:sz w:val="20"/>
          <w:szCs w:val="20"/>
        </w:rPr>
        <w:t xml:space="preserve"> </w:t>
      </w:r>
      <w:r w:rsidRPr="005A42D2">
        <w:rPr>
          <w:i/>
          <w:sz w:val="20"/>
          <w:szCs w:val="20"/>
        </w:rPr>
        <w:t>Id</w:t>
      </w:r>
      <w:r w:rsidRPr="005A42D2">
        <w:rPr>
          <w:sz w:val="20"/>
          <w:szCs w:val="20"/>
        </w:rPr>
        <w:t>.</w:t>
      </w:r>
    </w:p>
  </w:footnote>
  <w:footnote w:id="14">
    <w:p w14:paraId="15BD4F16" w14:textId="77777777" w:rsidR="00BF7536" w:rsidRPr="005A42D2" w:rsidRDefault="00BF7536">
      <w:pPr>
        <w:pStyle w:val="FootnoteText"/>
        <w:rPr>
          <w:sz w:val="20"/>
          <w:szCs w:val="20"/>
        </w:rPr>
      </w:pPr>
      <w:r w:rsidRPr="005A42D2">
        <w:rPr>
          <w:rStyle w:val="FootnoteReference"/>
          <w:sz w:val="20"/>
          <w:szCs w:val="20"/>
        </w:rPr>
        <w:footnoteRef/>
      </w:r>
      <w:r w:rsidRPr="005A42D2">
        <w:rPr>
          <w:sz w:val="20"/>
          <w:szCs w:val="20"/>
        </w:rPr>
        <w:t xml:space="preserve"> DETENTION AND DEPORTATION IN THE AGE OF ICE: IMMIGRANTS AND HUMAN RIGHTS IN MASSACHUSETTS 49 (AMERICAN CIVIL LIBERTIES UNION, Dec. 2008).</w:t>
      </w:r>
    </w:p>
  </w:footnote>
  <w:footnote w:id="15">
    <w:p w14:paraId="1A8FCBCC" w14:textId="77777777" w:rsidR="00BF7536" w:rsidRDefault="00BF7536">
      <w:pPr>
        <w:pStyle w:val="FootnoteText"/>
      </w:pPr>
      <w:r>
        <w:rPr>
          <w:rStyle w:val="FootnoteReference"/>
        </w:rPr>
        <w:footnoteRef/>
      </w:r>
      <w:r>
        <w:t xml:space="preserve"> </w:t>
      </w:r>
      <w:r w:rsidRPr="002B02F0">
        <w:rPr>
          <w:i/>
        </w:rPr>
        <w:t>Id</w:t>
      </w:r>
      <w:r>
        <w:t>.</w:t>
      </w:r>
    </w:p>
  </w:footnote>
  <w:footnote w:id="16">
    <w:p w14:paraId="198A0B8E" w14:textId="77777777" w:rsidR="00BF7536" w:rsidRDefault="00BF7536">
      <w:pPr>
        <w:pStyle w:val="FootnoteText"/>
      </w:pPr>
      <w:r>
        <w:rPr>
          <w:rStyle w:val="FootnoteReference"/>
        </w:rPr>
        <w:footnoteRef/>
      </w:r>
      <w:r>
        <w:t xml:space="preserve"> </w:t>
      </w:r>
      <w:r w:rsidRPr="002B02F0">
        <w:rPr>
          <w:i/>
        </w:rPr>
        <w:t>Id</w:t>
      </w:r>
      <w:r>
        <w:t>.</w:t>
      </w:r>
    </w:p>
  </w:footnote>
  <w:footnote w:id="17">
    <w:p w14:paraId="5FEA1423" w14:textId="77777777" w:rsidR="00BF7536" w:rsidRPr="00696701" w:rsidRDefault="00BF7536" w:rsidP="00027087">
      <w:pPr>
        <w:pStyle w:val="FootnoteText"/>
        <w:rPr>
          <w:sz w:val="20"/>
          <w:szCs w:val="20"/>
        </w:rPr>
      </w:pPr>
      <w:r>
        <w:rPr>
          <w:rStyle w:val="FootnoteReference"/>
        </w:rPr>
        <w:footnoteRef/>
      </w:r>
      <w:r>
        <w:t xml:space="preserve"> </w:t>
      </w:r>
      <w:r>
        <w:rPr>
          <w:sz w:val="20"/>
          <w:szCs w:val="20"/>
        </w:rPr>
        <w:t>AMERICAN CIVIL LIBERTIES UNION (ACLU)</w:t>
      </w:r>
      <w:r w:rsidRPr="00696701">
        <w:rPr>
          <w:sz w:val="20"/>
          <w:szCs w:val="20"/>
        </w:rPr>
        <w:t xml:space="preserve">, </w:t>
      </w:r>
      <w:r>
        <w:rPr>
          <w:sz w:val="20"/>
          <w:szCs w:val="20"/>
        </w:rPr>
        <w:t xml:space="preserve">The Reality of Life </w:t>
      </w:r>
      <w:proofErr w:type="gramStart"/>
      <w:r>
        <w:rPr>
          <w:sz w:val="20"/>
          <w:szCs w:val="20"/>
        </w:rPr>
        <w:t>Inside</w:t>
      </w:r>
      <w:proofErr w:type="gramEnd"/>
      <w:r>
        <w:rPr>
          <w:sz w:val="20"/>
          <w:szCs w:val="20"/>
        </w:rPr>
        <w:t xml:space="preserve"> Immigration Detention (2012) </w:t>
      </w:r>
      <w:r w:rsidRPr="00696701">
        <w:rPr>
          <w:i/>
          <w:sz w:val="20"/>
          <w:szCs w:val="20"/>
        </w:rPr>
        <w:t>available at</w:t>
      </w:r>
      <w:r w:rsidRPr="00696701">
        <w:rPr>
          <w:sz w:val="20"/>
          <w:szCs w:val="20"/>
        </w:rPr>
        <w:t xml:space="preserve"> </w:t>
      </w:r>
      <w:r w:rsidRPr="00027087">
        <w:rPr>
          <w:sz w:val="20"/>
          <w:szCs w:val="20"/>
        </w:rPr>
        <w:t>http://www.aclu.org/blog/immigrants-rights-racial-justice/reality-life-inside-immigration-detention</w:t>
      </w:r>
      <w:r w:rsidRPr="00696701">
        <w:rPr>
          <w:sz w:val="20"/>
          <w:szCs w:val="20"/>
        </w:rPr>
        <w:t>.</w:t>
      </w:r>
    </w:p>
    <w:p w14:paraId="32135C7B" w14:textId="77777777" w:rsidR="00BF7536" w:rsidRDefault="00BF7536">
      <w:pPr>
        <w:pStyle w:val="FootnoteText"/>
      </w:pPr>
    </w:p>
  </w:footnote>
  <w:footnote w:id="18">
    <w:p w14:paraId="2BCFA563" w14:textId="77777777" w:rsidR="00BF7536" w:rsidRPr="007C085C" w:rsidRDefault="00BF7536" w:rsidP="00616005">
      <w:pPr>
        <w:rPr>
          <w:sz w:val="20"/>
          <w:szCs w:val="20"/>
        </w:rPr>
      </w:pPr>
      <w:r w:rsidRPr="007C085C">
        <w:rPr>
          <w:rStyle w:val="FootnoteReference"/>
          <w:sz w:val="20"/>
          <w:szCs w:val="20"/>
        </w:rPr>
        <w:footnoteRef/>
      </w:r>
      <w:r w:rsidRPr="007C085C">
        <w:rPr>
          <w:sz w:val="20"/>
          <w:szCs w:val="20"/>
        </w:rPr>
        <w:t xml:space="preserve"> MARK DOW, AMERICAN GULAG: INSIDE U.S. IMMIGRATION PRISONS 290     </w:t>
      </w:r>
    </w:p>
    <w:p w14:paraId="5E9AAA2B" w14:textId="5410607B" w:rsidR="00BF7536" w:rsidRPr="007C085C" w:rsidRDefault="00BF7536" w:rsidP="0096515B">
      <w:pPr>
        <w:rPr>
          <w:sz w:val="20"/>
          <w:szCs w:val="20"/>
        </w:rPr>
      </w:pPr>
      <w:r w:rsidRPr="007C085C">
        <w:rPr>
          <w:sz w:val="20"/>
          <w:szCs w:val="20"/>
        </w:rPr>
        <w:t>(2004).</w:t>
      </w:r>
    </w:p>
  </w:footnote>
  <w:footnote w:id="19">
    <w:p w14:paraId="6E7F2942" w14:textId="12EC476D" w:rsidR="00BF7536" w:rsidRPr="007C085C" w:rsidRDefault="00BF7536" w:rsidP="00616005">
      <w:pPr>
        <w:pStyle w:val="FootnoteText"/>
        <w:rPr>
          <w:sz w:val="20"/>
          <w:szCs w:val="20"/>
        </w:rPr>
      </w:pPr>
      <w:r w:rsidRPr="007C085C">
        <w:rPr>
          <w:rStyle w:val="FootnoteReference"/>
          <w:sz w:val="20"/>
          <w:szCs w:val="20"/>
        </w:rPr>
        <w:footnoteRef/>
      </w:r>
      <w:r w:rsidRPr="007C085C">
        <w:rPr>
          <w:sz w:val="20"/>
          <w:szCs w:val="20"/>
        </w:rPr>
        <w:t xml:space="preserve"> MICHAEL WELCH, DETAINED: IMMIGRATION LAWS AND THE EXPANDING I.N.S. JAIL COMPLEX 88 (2002).</w:t>
      </w:r>
    </w:p>
  </w:footnote>
  <w:footnote w:id="20">
    <w:p w14:paraId="1F5EA990" w14:textId="77777777" w:rsidR="00BF7536" w:rsidRPr="007C085C" w:rsidRDefault="00BF7536" w:rsidP="00616005">
      <w:pPr>
        <w:pStyle w:val="FootnoteText"/>
        <w:rPr>
          <w:sz w:val="20"/>
          <w:szCs w:val="20"/>
        </w:rPr>
      </w:pPr>
      <w:r w:rsidRPr="007C085C">
        <w:rPr>
          <w:rStyle w:val="FootnoteReference"/>
          <w:sz w:val="20"/>
          <w:szCs w:val="20"/>
        </w:rPr>
        <w:footnoteRef/>
      </w:r>
      <w:r w:rsidRPr="007C085C">
        <w:rPr>
          <w:sz w:val="20"/>
          <w:szCs w:val="20"/>
        </w:rPr>
        <w:t xml:space="preserve"> Welch at 91.</w:t>
      </w:r>
    </w:p>
  </w:footnote>
  <w:footnote w:id="21">
    <w:p w14:paraId="0D9BB209" w14:textId="65FC82AE" w:rsidR="00BF7536" w:rsidRPr="007C085C" w:rsidRDefault="00BF7536" w:rsidP="00616005">
      <w:pPr>
        <w:pStyle w:val="FootnoteText"/>
        <w:rPr>
          <w:sz w:val="20"/>
          <w:szCs w:val="20"/>
          <w:highlight w:val="yellow"/>
        </w:rPr>
      </w:pPr>
      <w:r w:rsidRPr="007C085C">
        <w:rPr>
          <w:rStyle w:val="FootnoteReference"/>
          <w:sz w:val="20"/>
          <w:szCs w:val="20"/>
        </w:rPr>
        <w:footnoteRef/>
      </w:r>
      <w:r w:rsidRPr="007C085C">
        <w:rPr>
          <w:sz w:val="20"/>
          <w:szCs w:val="20"/>
        </w:rPr>
        <w:t xml:space="preserve"> </w:t>
      </w:r>
      <w:r>
        <w:rPr>
          <w:sz w:val="20"/>
          <w:szCs w:val="20"/>
        </w:rPr>
        <w:t xml:space="preserve">Amy Goldstein, </w:t>
      </w:r>
      <w:r w:rsidRPr="007D4707">
        <w:rPr>
          <w:i/>
          <w:sz w:val="20"/>
          <w:szCs w:val="20"/>
        </w:rPr>
        <w:t>Some Detainees Are Drugged For Deportation</w:t>
      </w:r>
      <w:r>
        <w:rPr>
          <w:sz w:val="20"/>
          <w:szCs w:val="20"/>
        </w:rPr>
        <w:t xml:space="preserve"> (The Washington Post</w:t>
      </w:r>
      <w:proofErr w:type="gramStart"/>
      <w:r>
        <w:rPr>
          <w:sz w:val="20"/>
          <w:szCs w:val="20"/>
        </w:rPr>
        <w:t>,  2008</w:t>
      </w:r>
      <w:proofErr w:type="gramEnd"/>
      <w:r>
        <w:rPr>
          <w:sz w:val="20"/>
          <w:szCs w:val="20"/>
        </w:rPr>
        <w:t xml:space="preserve">) </w:t>
      </w:r>
      <w:r w:rsidRPr="007D4707">
        <w:rPr>
          <w:i/>
          <w:sz w:val="20"/>
          <w:szCs w:val="20"/>
        </w:rPr>
        <w:t>available at</w:t>
      </w:r>
      <w:r>
        <w:rPr>
          <w:sz w:val="20"/>
          <w:szCs w:val="20"/>
        </w:rPr>
        <w:t xml:space="preserve"> </w:t>
      </w:r>
      <w:r w:rsidRPr="007C085C">
        <w:rPr>
          <w:sz w:val="20"/>
          <w:szCs w:val="20"/>
        </w:rPr>
        <w:t>http://www.washingtonpost.com/wp-srv/nation/specials/immigration/cwc_d4p1.html</w:t>
      </w:r>
      <w:r>
        <w:rPr>
          <w:sz w:val="20"/>
          <w:szCs w:val="20"/>
        </w:rPr>
        <w:t>.</w:t>
      </w:r>
    </w:p>
  </w:footnote>
  <w:footnote w:id="22">
    <w:p w14:paraId="29C7E6AC" w14:textId="225B153B" w:rsidR="00BF7536" w:rsidRDefault="00BF7536">
      <w:pPr>
        <w:pStyle w:val="FootnoteText"/>
      </w:pPr>
      <w:r w:rsidRPr="007C085C">
        <w:rPr>
          <w:rStyle w:val="FootnoteReference"/>
          <w:sz w:val="20"/>
          <w:szCs w:val="20"/>
        </w:rPr>
        <w:footnoteRef/>
      </w:r>
      <w:r w:rsidRPr="007C085C">
        <w:rPr>
          <w:sz w:val="20"/>
          <w:szCs w:val="20"/>
        </w:rPr>
        <w:t xml:space="preserve"> </w:t>
      </w:r>
      <w:r w:rsidRPr="007C085C">
        <w:rPr>
          <w:smallCaps/>
          <w:sz w:val="20"/>
          <w:szCs w:val="20"/>
        </w:rPr>
        <w:t>Invisible in Isolation: The Use of Segregation and Solitary Confinement in Immigration Detention</w:t>
      </w:r>
      <w:r w:rsidRPr="007C085C">
        <w:rPr>
          <w:sz w:val="20"/>
          <w:szCs w:val="20"/>
        </w:rPr>
        <w:t xml:space="preserve"> 16 (</w:t>
      </w:r>
      <w:r w:rsidRPr="007C085C">
        <w:rPr>
          <w:smallCaps/>
          <w:sz w:val="20"/>
          <w:szCs w:val="20"/>
        </w:rPr>
        <w:t xml:space="preserve">National Immigrant Justice Center &amp; Physicians for Human Rights, </w:t>
      </w:r>
      <w:r w:rsidRPr="007C085C">
        <w:rPr>
          <w:sz w:val="20"/>
          <w:szCs w:val="20"/>
        </w:rPr>
        <w:t>Sept. 2012).</w:t>
      </w:r>
      <w:r w:rsidRPr="00020F29">
        <w:rPr>
          <w:sz w:val="20"/>
          <w:szCs w:val="20"/>
        </w:rPr>
        <w:t xml:space="preserve">  </w:t>
      </w:r>
    </w:p>
  </w:footnote>
  <w:footnote w:id="23">
    <w:p w14:paraId="613B1389" w14:textId="1E7F28EB"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r w:rsidRPr="007C085C">
        <w:rPr>
          <w:smallCaps/>
          <w:sz w:val="20"/>
          <w:szCs w:val="20"/>
        </w:rPr>
        <w:t>Invisible in Isolation at</w:t>
      </w:r>
      <w:r w:rsidRPr="007C085C">
        <w:rPr>
          <w:sz w:val="20"/>
          <w:szCs w:val="20"/>
        </w:rPr>
        <w:t xml:space="preserve"> 2 </w:t>
      </w:r>
    </w:p>
  </w:footnote>
  <w:footnote w:id="24">
    <w:p w14:paraId="1737BA2F" w14:textId="597EDEBA"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w:t>
      </w:r>
    </w:p>
  </w:footnote>
  <w:footnote w:id="25">
    <w:p w14:paraId="78D0542D" w14:textId="06670570"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w:t>
      </w:r>
    </w:p>
  </w:footnote>
  <w:footnote w:id="26">
    <w:p w14:paraId="0F858CAC" w14:textId="11441584" w:rsidR="00BF7536" w:rsidRPr="007C085C" w:rsidRDefault="00BF7536" w:rsidP="00DD422B">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w:t>
      </w:r>
    </w:p>
  </w:footnote>
  <w:footnote w:id="27">
    <w:p w14:paraId="274186C1" w14:textId="4CF14BF4"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proofErr w:type="gramStart"/>
      <w:r w:rsidRPr="007C085C">
        <w:rPr>
          <w:sz w:val="20"/>
          <w:szCs w:val="20"/>
        </w:rPr>
        <w:t>INVISIBLE IN ISOLATION at 18.</w:t>
      </w:r>
      <w:proofErr w:type="gramEnd"/>
    </w:p>
  </w:footnote>
  <w:footnote w:id="28">
    <w:p w14:paraId="1791A3EB" w14:textId="3B9F97E7"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proofErr w:type="gramStart"/>
      <w:r w:rsidRPr="007C085C">
        <w:rPr>
          <w:sz w:val="20"/>
          <w:szCs w:val="20"/>
        </w:rPr>
        <w:t>ICE Detention Standards at 292.</w:t>
      </w:r>
      <w:proofErr w:type="gramEnd"/>
    </w:p>
  </w:footnote>
  <w:footnote w:id="29">
    <w:p w14:paraId="788114D8" w14:textId="63DCEB94"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proofErr w:type="gramStart"/>
      <w:r w:rsidRPr="007C085C">
        <w:rPr>
          <w:i/>
          <w:sz w:val="20"/>
          <w:szCs w:val="20"/>
        </w:rPr>
        <w:t>Id</w:t>
      </w:r>
      <w:r w:rsidRPr="007C085C">
        <w:rPr>
          <w:sz w:val="20"/>
          <w:szCs w:val="20"/>
        </w:rPr>
        <w:t xml:space="preserve"> at 293; INVISIBLE IN ISOLATION at 2.</w:t>
      </w:r>
      <w:proofErr w:type="gramEnd"/>
    </w:p>
  </w:footnote>
  <w:footnote w:id="30">
    <w:p w14:paraId="27877C44" w14:textId="77777777" w:rsidR="00BF7536" w:rsidRPr="007C085C" w:rsidRDefault="00BF7536" w:rsidP="00DD422B">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 xml:space="preserve"> at 51-52.</w:t>
      </w:r>
    </w:p>
  </w:footnote>
  <w:footnote w:id="31">
    <w:p w14:paraId="58A6BD04" w14:textId="77777777" w:rsidR="00BF7536" w:rsidRPr="007C085C" w:rsidRDefault="00BF7536" w:rsidP="00C15387">
      <w:pPr>
        <w:pStyle w:val="FootnoteText"/>
        <w:rPr>
          <w:sz w:val="20"/>
          <w:szCs w:val="20"/>
        </w:rPr>
      </w:pPr>
      <w:r w:rsidRPr="007C085C">
        <w:rPr>
          <w:rStyle w:val="FootnoteReference"/>
          <w:sz w:val="20"/>
          <w:szCs w:val="20"/>
        </w:rPr>
        <w:footnoteRef/>
      </w:r>
      <w:r w:rsidRPr="007C085C">
        <w:rPr>
          <w:sz w:val="20"/>
          <w:szCs w:val="20"/>
        </w:rPr>
        <w:t xml:space="preserve"> </w:t>
      </w:r>
      <w:proofErr w:type="gramStart"/>
      <w:r w:rsidRPr="007C085C">
        <w:rPr>
          <w:sz w:val="20"/>
          <w:szCs w:val="20"/>
        </w:rPr>
        <w:t>ABA at 56.</w:t>
      </w:r>
      <w:proofErr w:type="gramEnd"/>
    </w:p>
  </w:footnote>
  <w:footnote w:id="32">
    <w:p w14:paraId="17E60075" w14:textId="30C07B55"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INVISIBLE IN ISOLATION at 24; REPORT ON IMMIGRATION IN THE UNITED STATES: DETENTION AND DUE PROCESS 25 (INTER-AMERICAN COMMISSION ON HUMAN RIGHTS, Dec. 2010).</w:t>
      </w:r>
    </w:p>
  </w:footnote>
  <w:footnote w:id="33">
    <w:p w14:paraId="58C0E034" w14:textId="4216922F"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proofErr w:type="gramStart"/>
      <w:r w:rsidRPr="007C085C">
        <w:rPr>
          <w:sz w:val="20"/>
          <w:szCs w:val="20"/>
        </w:rPr>
        <w:t>INVISIBLE IN ISOLATION at 24.</w:t>
      </w:r>
      <w:proofErr w:type="gramEnd"/>
    </w:p>
  </w:footnote>
  <w:footnote w:id="34">
    <w:p w14:paraId="722BC525" w14:textId="111D5294"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w:t>
      </w:r>
    </w:p>
  </w:footnote>
  <w:footnote w:id="35">
    <w:p w14:paraId="75B14236" w14:textId="5FA43692"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w:t>
      </w:r>
    </w:p>
  </w:footnote>
  <w:footnote w:id="36">
    <w:p w14:paraId="58AD33A5" w14:textId="6368C18B" w:rsidR="00BF7536" w:rsidRPr="007C085C" w:rsidRDefault="00BF7536" w:rsidP="002C6056">
      <w:pPr>
        <w:pStyle w:val="FootnoteText"/>
        <w:rPr>
          <w:sz w:val="20"/>
          <w:szCs w:val="20"/>
        </w:rPr>
      </w:pPr>
      <w:r w:rsidRPr="007C085C">
        <w:rPr>
          <w:rStyle w:val="FootnoteReference"/>
          <w:sz w:val="20"/>
          <w:szCs w:val="20"/>
        </w:rPr>
        <w:footnoteRef/>
      </w:r>
      <w:r w:rsidRPr="007C085C">
        <w:rPr>
          <w:sz w:val="20"/>
          <w:szCs w:val="20"/>
        </w:rPr>
        <w:t xml:space="preserve"> Christy </w:t>
      </w:r>
      <w:proofErr w:type="spellStart"/>
      <w:r w:rsidRPr="007C085C">
        <w:rPr>
          <w:sz w:val="20"/>
          <w:szCs w:val="20"/>
        </w:rPr>
        <w:t>Fujio</w:t>
      </w:r>
      <w:proofErr w:type="spellEnd"/>
      <w:r w:rsidRPr="007C085C">
        <w:rPr>
          <w:sz w:val="20"/>
          <w:szCs w:val="20"/>
        </w:rPr>
        <w:t xml:space="preserve">, Buried Alive: Solitary Confinement in the U.S. Detention System, Physicians </w:t>
      </w:r>
      <w:proofErr w:type="gramStart"/>
      <w:r w:rsidRPr="007C085C">
        <w:rPr>
          <w:sz w:val="20"/>
          <w:szCs w:val="20"/>
        </w:rPr>
        <w:t>For</w:t>
      </w:r>
      <w:proofErr w:type="gramEnd"/>
      <w:r w:rsidRPr="007C085C">
        <w:rPr>
          <w:sz w:val="20"/>
          <w:szCs w:val="20"/>
        </w:rPr>
        <w:t xml:space="preserve"> Human Rights (April 2013), http://physiciansforhumanrights.org/library/reports/buried-alive-solitary-confinement-in-the-us-detention-system.html.</w:t>
      </w:r>
    </w:p>
  </w:footnote>
  <w:footnote w:id="37">
    <w:p w14:paraId="07A325F3" w14:textId="5DEF0FD2" w:rsidR="00BF7536" w:rsidRPr="007C085C" w:rsidRDefault="00BF7536" w:rsidP="002C6056">
      <w:pPr>
        <w:rPr>
          <w:rFonts w:ascii="Times New Roman" w:hAnsi="Times New Roman" w:cs="Times New Roman"/>
          <w:sz w:val="20"/>
          <w:szCs w:val="20"/>
        </w:rPr>
      </w:pPr>
      <w:r w:rsidRPr="007C085C">
        <w:rPr>
          <w:rStyle w:val="FootnoteReference"/>
          <w:sz w:val="20"/>
          <w:szCs w:val="20"/>
        </w:rPr>
        <w:footnoteRef/>
      </w:r>
      <w:r w:rsidRPr="007C085C">
        <w:rPr>
          <w:sz w:val="20"/>
          <w:szCs w:val="20"/>
        </w:rPr>
        <w:t xml:space="preserve"> </w:t>
      </w:r>
      <w:r w:rsidRPr="007C085C">
        <w:rPr>
          <w:rFonts w:ascii="Times New Roman" w:hAnsi="Times New Roman" w:cs="Times New Roman"/>
          <w:sz w:val="20"/>
          <w:szCs w:val="20"/>
        </w:rPr>
        <w:t xml:space="preserve">The Istanbul Statement on the Use of Solitary Confinement, Adopted </w:t>
      </w:r>
    </w:p>
    <w:p w14:paraId="51DDDD9D" w14:textId="0217FDE9" w:rsidR="00BF7536" w:rsidRPr="007C085C" w:rsidRDefault="00BF7536" w:rsidP="007C085C">
      <w:pPr>
        <w:rPr>
          <w:rFonts w:ascii="Times New Roman" w:hAnsi="Times New Roman" w:cs="Times New Roman"/>
          <w:sz w:val="20"/>
          <w:szCs w:val="20"/>
        </w:rPr>
      </w:pPr>
      <w:proofErr w:type="gramStart"/>
      <w:r w:rsidRPr="007C085C">
        <w:rPr>
          <w:rFonts w:ascii="Times New Roman" w:hAnsi="Times New Roman" w:cs="Times New Roman"/>
          <w:sz w:val="20"/>
          <w:szCs w:val="20"/>
        </w:rPr>
        <w:t>December 9, 2007, International Psychological Trauma Symposium, Istanbul, http://solitaryconfinement.org/uploads/Istanbul_expert_statement_on_sc.pdf.</w:t>
      </w:r>
      <w:proofErr w:type="gramEnd"/>
    </w:p>
  </w:footnote>
  <w:footnote w:id="38">
    <w:p w14:paraId="478BAFB8" w14:textId="373ECEA5" w:rsidR="00BF7536" w:rsidRPr="007C085C" w:rsidRDefault="00BF7536" w:rsidP="002C6056">
      <w:pPr>
        <w:pStyle w:val="FootnoteText"/>
        <w:rPr>
          <w:sz w:val="20"/>
          <w:szCs w:val="20"/>
        </w:rPr>
      </w:pPr>
      <w:r w:rsidRPr="007C085C">
        <w:rPr>
          <w:rStyle w:val="FootnoteReference"/>
          <w:sz w:val="20"/>
          <w:szCs w:val="20"/>
        </w:rPr>
        <w:footnoteRef/>
      </w:r>
      <w:r w:rsidRPr="007C085C">
        <w:rPr>
          <w:sz w:val="20"/>
          <w:szCs w:val="20"/>
        </w:rPr>
        <w:t xml:space="preserve"> </w:t>
      </w:r>
      <w:proofErr w:type="gramStart"/>
      <w:r w:rsidRPr="007C085C">
        <w:rPr>
          <w:i/>
          <w:sz w:val="20"/>
          <w:szCs w:val="20"/>
        </w:rPr>
        <w:t>Id</w:t>
      </w:r>
      <w:r w:rsidRPr="007C085C">
        <w:rPr>
          <w:sz w:val="20"/>
          <w:szCs w:val="20"/>
        </w:rPr>
        <w:t xml:space="preserve"> at 12.</w:t>
      </w:r>
      <w:proofErr w:type="gramEnd"/>
    </w:p>
  </w:footnote>
  <w:footnote w:id="39">
    <w:p w14:paraId="4EF3B552" w14:textId="7B3438E5" w:rsidR="00BF7536" w:rsidRPr="007C085C" w:rsidRDefault="00BF7536">
      <w:pPr>
        <w:pStyle w:val="FootnoteText"/>
        <w:rPr>
          <w:sz w:val="20"/>
          <w:szCs w:val="20"/>
        </w:rPr>
      </w:pPr>
      <w:r w:rsidRPr="007C085C">
        <w:rPr>
          <w:rStyle w:val="FootnoteReference"/>
          <w:sz w:val="20"/>
          <w:szCs w:val="20"/>
        </w:rPr>
        <w:footnoteRef/>
      </w:r>
      <w:r>
        <w:rPr>
          <w:sz w:val="20"/>
          <w:szCs w:val="20"/>
        </w:rPr>
        <w:t xml:space="preserve"> </w:t>
      </w:r>
      <w:proofErr w:type="gramStart"/>
      <w:r w:rsidRPr="007C085C">
        <w:rPr>
          <w:sz w:val="20"/>
          <w:szCs w:val="20"/>
        </w:rPr>
        <w:t>INVISIBLE IN ISOLATION at 16.</w:t>
      </w:r>
      <w:proofErr w:type="gramEnd"/>
    </w:p>
  </w:footnote>
  <w:footnote w:id="40">
    <w:p w14:paraId="1683AA27" w14:textId="1D77A700"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w:t>
      </w:r>
    </w:p>
  </w:footnote>
  <w:footnote w:id="41">
    <w:p w14:paraId="06F164D1" w14:textId="124E5D94" w:rsidR="00BF7536" w:rsidRPr="007C085C" w:rsidRDefault="00BF7536">
      <w:pPr>
        <w:pStyle w:val="FootnoteText"/>
        <w:rPr>
          <w:sz w:val="20"/>
          <w:szCs w:val="20"/>
        </w:rPr>
      </w:pPr>
      <w:r w:rsidRPr="007C085C">
        <w:rPr>
          <w:rStyle w:val="FootnoteReference"/>
          <w:sz w:val="20"/>
          <w:szCs w:val="20"/>
        </w:rPr>
        <w:footnoteRef/>
      </w:r>
      <w:r w:rsidRPr="007C085C">
        <w:rPr>
          <w:sz w:val="20"/>
          <w:szCs w:val="20"/>
        </w:rPr>
        <w:t xml:space="preserve"> </w:t>
      </w:r>
      <w:r w:rsidRPr="007C085C">
        <w:rPr>
          <w:i/>
          <w:sz w:val="20"/>
          <w:szCs w:val="20"/>
        </w:rPr>
        <w:t>Id</w:t>
      </w:r>
      <w:r w:rsidRPr="007C085C">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55FD"/>
    <w:multiLevelType w:val="hybridMultilevel"/>
    <w:tmpl w:val="4058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8C792C"/>
    <w:multiLevelType w:val="hybridMultilevel"/>
    <w:tmpl w:val="B22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C38AF"/>
    <w:multiLevelType w:val="hybridMultilevel"/>
    <w:tmpl w:val="833C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96082"/>
    <w:multiLevelType w:val="hybridMultilevel"/>
    <w:tmpl w:val="2EF27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A43AB"/>
    <w:multiLevelType w:val="hybridMultilevel"/>
    <w:tmpl w:val="63CC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BF"/>
    <w:rsid w:val="00006C5F"/>
    <w:rsid w:val="00020F29"/>
    <w:rsid w:val="00025183"/>
    <w:rsid w:val="00027087"/>
    <w:rsid w:val="00053D65"/>
    <w:rsid w:val="00092B33"/>
    <w:rsid w:val="000C6DE8"/>
    <w:rsid w:val="001164F3"/>
    <w:rsid w:val="00120091"/>
    <w:rsid w:val="001977BF"/>
    <w:rsid w:val="001B6BBF"/>
    <w:rsid w:val="00200883"/>
    <w:rsid w:val="00201789"/>
    <w:rsid w:val="002278F1"/>
    <w:rsid w:val="002B02F0"/>
    <w:rsid w:val="002C2BB2"/>
    <w:rsid w:val="002C6056"/>
    <w:rsid w:val="002F2894"/>
    <w:rsid w:val="00355A35"/>
    <w:rsid w:val="003855F7"/>
    <w:rsid w:val="00396AEB"/>
    <w:rsid w:val="003F6BD8"/>
    <w:rsid w:val="004601C4"/>
    <w:rsid w:val="00460342"/>
    <w:rsid w:val="004765FF"/>
    <w:rsid w:val="00496908"/>
    <w:rsid w:val="004C62CE"/>
    <w:rsid w:val="0050304A"/>
    <w:rsid w:val="00525586"/>
    <w:rsid w:val="00525614"/>
    <w:rsid w:val="005365AA"/>
    <w:rsid w:val="00540E73"/>
    <w:rsid w:val="00571322"/>
    <w:rsid w:val="005A42D2"/>
    <w:rsid w:val="005B7A71"/>
    <w:rsid w:val="00616005"/>
    <w:rsid w:val="00647F35"/>
    <w:rsid w:val="006531A7"/>
    <w:rsid w:val="00680808"/>
    <w:rsid w:val="00696701"/>
    <w:rsid w:val="00697AE0"/>
    <w:rsid w:val="006A2713"/>
    <w:rsid w:val="006B6922"/>
    <w:rsid w:val="006C427B"/>
    <w:rsid w:val="006C5C48"/>
    <w:rsid w:val="006E2D40"/>
    <w:rsid w:val="006E5942"/>
    <w:rsid w:val="00713C35"/>
    <w:rsid w:val="00714D1C"/>
    <w:rsid w:val="007153AE"/>
    <w:rsid w:val="00763004"/>
    <w:rsid w:val="007C085C"/>
    <w:rsid w:val="007C6CE5"/>
    <w:rsid w:val="007D4707"/>
    <w:rsid w:val="00850C51"/>
    <w:rsid w:val="008D24B6"/>
    <w:rsid w:val="008E11F1"/>
    <w:rsid w:val="00935F5D"/>
    <w:rsid w:val="00961F89"/>
    <w:rsid w:val="0096515B"/>
    <w:rsid w:val="009F042B"/>
    <w:rsid w:val="00A0721B"/>
    <w:rsid w:val="00A44257"/>
    <w:rsid w:val="00A50D49"/>
    <w:rsid w:val="00A64621"/>
    <w:rsid w:val="00A8351D"/>
    <w:rsid w:val="00AA15C2"/>
    <w:rsid w:val="00AA2824"/>
    <w:rsid w:val="00B276C3"/>
    <w:rsid w:val="00BB535B"/>
    <w:rsid w:val="00BF7536"/>
    <w:rsid w:val="00C15387"/>
    <w:rsid w:val="00C50985"/>
    <w:rsid w:val="00C63292"/>
    <w:rsid w:val="00C671BC"/>
    <w:rsid w:val="00CB4EFF"/>
    <w:rsid w:val="00CB7E87"/>
    <w:rsid w:val="00CE411F"/>
    <w:rsid w:val="00CF5088"/>
    <w:rsid w:val="00D075F3"/>
    <w:rsid w:val="00D10403"/>
    <w:rsid w:val="00D143AA"/>
    <w:rsid w:val="00D84C5C"/>
    <w:rsid w:val="00DB12FE"/>
    <w:rsid w:val="00DB73E6"/>
    <w:rsid w:val="00DD422B"/>
    <w:rsid w:val="00DD457F"/>
    <w:rsid w:val="00E769F6"/>
    <w:rsid w:val="00EB07D0"/>
    <w:rsid w:val="00F51B8C"/>
    <w:rsid w:val="00F94906"/>
    <w:rsid w:val="00FD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159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BF"/>
    <w:pPr>
      <w:ind w:left="720"/>
      <w:contextualSpacing/>
    </w:pPr>
  </w:style>
  <w:style w:type="paragraph" w:styleId="FootnoteText">
    <w:name w:val="footnote text"/>
    <w:basedOn w:val="Normal"/>
    <w:link w:val="FootnoteTextChar"/>
    <w:uiPriority w:val="99"/>
    <w:unhideWhenUsed/>
    <w:rsid w:val="00525614"/>
  </w:style>
  <w:style w:type="character" w:customStyle="1" w:styleId="FootnoteTextChar">
    <w:name w:val="Footnote Text Char"/>
    <w:basedOn w:val="DefaultParagraphFont"/>
    <w:link w:val="FootnoteText"/>
    <w:uiPriority w:val="99"/>
    <w:rsid w:val="00525614"/>
  </w:style>
  <w:style w:type="character" w:styleId="FootnoteReference">
    <w:name w:val="footnote reference"/>
    <w:basedOn w:val="DefaultParagraphFont"/>
    <w:uiPriority w:val="99"/>
    <w:unhideWhenUsed/>
    <w:rsid w:val="00525614"/>
    <w:rPr>
      <w:vertAlign w:val="superscript"/>
    </w:rPr>
  </w:style>
  <w:style w:type="paragraph" w:styleId="NormalWeb">
    <w:name w:val="Normal (Web)"/>
    <w:basedOn w:val="Normal"/>
    <w:uiPriority w:val="99"/>
    <w:semiHidden/>
    <w:unhideWhenUsed/>
    <w:rsid w:val="006A271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A2713"/>
    <w:rPr>
      <w:color w:val="0000FF"/>
      <w:u w:val="single"/>
    </w:rPr>
  </w:style>
  <w:style w:type="character" w:styleId="FollowedHyperlink">
    <w:name w:val="FollowedHyperlink"/>
    <w:basedOn w:val="DefaultParagraphFont"/>
    <w:uiPriority w:val="99"/>
    <w:semiHidden/>
    <w:unhideWhenUsed/>
    <w:rsid w:val="006967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BF"/>
    <w:pPr>
      <w:ind w:left="720"/>
      <w:contextualSpacing/>
    </w:pPr>
  </w:style>
  <w:style w:type="paragraph" w:styleId="FootnoteText">
    <w:name w:val="footnote text"/>
    <w:basedOn w:val="Normal"/>
    <w:link w:val="FootnoteTextChar"/>
    <w:uiPriority w:val="99"/>
    <w:unhideWhenUsed/>
    <w:rsid w:val="00525614"/>
  </w:style>
  <w:style w:type="character" w:customStyle="1" w:styleId="FootnoteTextChar">
    <w:name w:val="Footnote Text Char"/>
    <w:basedOn w:val="DefaultParagraphFont"/>
    <w:link w:val="FootnoteText"/>
    <w:uiPriority w:val="99"/>
    <w:rsid w:val="00525614"/>
  </w:style>
  <w:style w:type="character" w:styleId="FootnoteReference">
    <w:name w:val="footnote reference"/>
    <w:basedOn w:val="DefaultParagraphFont"/>
    <w:uiPriority w:val="99"/>
    <w:unhideWhenUsed/>
    <w:rsid w:val="00525614"/>
    <w:rPr>
      <w:vertAlign w:val="superscript"/>
    </w:rPr>
  </w:style>
  <w:style w:type="paragraph" w:styleId="NormalWeb">
    <w:name w:val="Normal (Web)"/>
    <w:basedOn w:val="Normal"/>
    <w:uiPriority w:val="99"/>
    <w:semiHidden/>
    <w:unhideWhenUsed/>
    <w:rsid w:val="006A271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A2713"/>
    <w:rPr>
      <w:color w:val="0000FF"/>
      <w:u w:val="single"/>
    </w:rPr>
  </w:style>
  <w:style w:type="character" w:styleId="FollowedHyperlink">
    <w:name w:val="FollowedHyperlink"/>
    <w:basedOn w:val="DefaultParagraphFont"/>
    <w:uiPriority w:val="99"/>
    <w:semiHidden/>
    <w:unhideWhenUsed/>
    <w:rsid w:val="00696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22911">
      <w:bodyDiv w:val="1"/>
      <w:marLeft w:val="0"/>
      <w:marRight w:val="0"/>
      <w:marTop w:val="0"/>
      <w:marBottom w:val="0"/>
      <w:divBdr>
        <w:top w:val="none" w:sz="0" w:space="0" w:color="auto"/>
        <w:left w:val="none" w:sz="0" w:space="0" w:color="auto"/>
        <w:bottom w:val="none" w:sz="0" w:space="0" w:color="auto"/>
        <w:right w:val="none" w:sz="0" w:space="0" w:color="auto"/>
      </w:divBdr>
    </w:div>
    <w:div w:id="624310835">
      <w:bodyDiv w:val="1"/>
      <w:marLeft w:val="0"/>
      <w:marRight w:val="0"/>
      <w:marTop w:val="0"/>
      <w:marBottom w:val="0"/>
      <w:divBdr>
        <w:top w:val="none" w:sz="0" w:space="0" w:color="auto"/>
        <w:left w:val="none" w:sz="0" w:space="0" w:color="auto"/>
        <w:bottom w:val="none" w:sz="0" w:space="0" w:color="auto"/>
        <w:right w:val="none" w:sz="0" w:space="0" w:color="auto"/>
      </w:divBdr>
    </w:div>
    <w:div w:id="970475721">
      <w:bodyDiv w:val="1"/>
      <w:marLeft w:val="0"/>
      <w:marRight w:val="0"/>
      <w:marTop w:val="0"/>
      <w:marBottom w:val="0"/>
      <w:divBdr>
        <w:top w:val="none" w:sz="0" w:space="0" w:color="auto"/>
        <w:left w:val="none" w:sz="0" w:space="0" w:color="auto"/>
        <w:bottom w:val="none" w:sz="0" w:space="0" w:color="auto"/>
        <w:right w:val="none" w:sz="0" w:space="0" w:color="auto"/>
      </w:divBdr>
      <w:divsChild>
        <w:div w:id="483131869">
          <w:marLeft w:val="0"/>
          <w:marRight w:val="0"/>
          <w:marTop w:val="0"/>
          <w:marBottom w:val="0"/>
          <w:divBdr>
            <w:top w:val="none" w:sz="0" w:space="0" w:color="auto"/>
            <w:left w:val="none" w:sz="0" w:space="0" w:color="auto"/>
            <w:bottom w:val="none" w:sz="0" w:space="0" w:color="auto"/>
            <w:right w:val="none" w:sz="0" w:space="0" w:color="auto"/>
          </w:divBdr>
        </w:div>
        <w:div w:id="265239287">
          <w:marLeft w:val="0"/>
          <w:marRight w:val="0"/>
          <w:marTop w:val="0"/>
          <w:marBottom w:val="0"/>
          <w:divBdr>
            <w:top w:val="none" w:sz="0" w:space="0" w:color="auto"/>
            <w:left w:val="none" w:sz="0" w:space="0" w:color="auto"/>
            <w:bottom w:val="none" w:sz="0" w:space="0" w:color="auto"/>
            <w:right w:val="none" w:sz="0" w:space="0" w:color="auto"/>
          </w:divBdr>
        </w:div>
        <w:div w:id="554050390">
          <w:marLeft w:val="0"/>
          <w:marRight w:val="0"/>
          <w:marTop w:val="0"/>
          <w:marBottom w:val="0"/>
          <w:divBdr>
            <w:top w:val="none" w:sz="0" w:space="0" w:color="auto"/>
            <w:left w:val="none" w:sz="0" w:space="0" w:color="auto"/>
            <w:bottom w:val="none" w:sz="0" w:space="0" w:color="auto"/>
            <w:right w:val="none" w:sz="0" w:space="0" w:color="auto"/>
          </w:divBdr>
        </w:div>
        <w:div w:id="642197268">
          <w:marLeft w:val="0"/>
          <w:marRight w:val="0"/>
          <w:marTop w:val="0"/>
          <w:marBottom w:val="0"/>
          <w:divBdr>
            <w:top w:val="none" w:sz="0" w:space="0" w:color="auto"/>
            <w:left w:val="none" w:sz="0" w:space="0" w:color="auto"/>
            <w:bottom w:val="none" w:sz="0" w:space="0" w:color="auto"/>
            <w:right w:val="none" w:sz="0" w:space="0" w:color="auto"/>
          </w:divBdr>
        </w:div>
        <w:div w:id="1104038682">
          <w:marLeft w:val="0"/>
          <w:marRight w:val="0"/>
          <w:marTop w:val="0"/>
          <w:marBottom w:val="0"/>
          <w:divBdr>
            <w:top w:val="none" w:sz="0" w:space="0" w:color="auto"/>
            <w:left w:val="none" w:sz="0" w:space="0" w:color="auto"/>
            <w:bottom w:val="none" w:sz="0" w:space="0" w:color="auto"/>
            <w:right w:val="none" w:sz="0" w:space="0" w:color="auto"/>
          </w:divBdr>
        </w:div>
        <w:div w:id="1344169915">
          <w:marLeft w:val="0"/>
          <w:marRight w:val="0"/>
          <w:marTop w:val="0"/>
          <w:marBottom w:val="0"/>
          <w:divBdr>
            <w:top w:val="none" w:sz="0" w:space="0" w:color="auto"/>
            <w:left w:val="none" w:sz="0" w:space="0" w:color="auto"/>
            <w:bottom w:val="none" w:sz="0" w:space="0" w:color="auto"/>
            <w:right w:val="none" w:sz="0" w:space="0" w:color="auto"/>
          </w:divBdr>
        </w:div>
        <w:div w:id="183860077">
          <w:marLeft w:val="0"/>
          <w:marRight w:val="0"/>
          <w:marTop w:val="0"/>
          <w:marBottom w:val="0"/>
          <w:divBdr>
            <w:top w:val="none" w:sz="0" w:space="0" w:color="auto"/>
            <w:left w:val="none" w:sz="0" w:space="0" w:color="auto"/>
            <w:bottom w:val="none" w:sz="0" w:space="0" w:color="auto"/>
            <w:right w:val="none" w:sz="0" w:space="0" w:color="auto"/>
          </w:divBdr>
        </w:div>
        <w:div w:id="671224482">
          <w:marLeft w:val="0"/>
          <w:marRight w:val="0"/>
          <w:marTop w:val="0"/>
          <w:marBottom w:val="0"/>
          <w:divBdr>
            <w:top w:val="none" w:sz="0" w:space="0" w:color="auto"/>
            <w:left w:val="none" w:sz="0" w:space="0" w:color="auto"/>
            <w:bottom w:val="none" w:sz="0" w:space="0" w:color="auto"/>
            <w:right w:val="none" w:sz="0" w:space="0" w:color="auto"/>
          </w:divBdr>
        </w:div>
        <w:div w:id="1272935660">
          <w:marLeft w:val="0"/>
          <w:marRight w:val="0"/>
          <w:marTop w:val="0"/>
          <w:marBottom w:val="0"/>
          <w:divBdr>
            <w:top w:val="none" w:sz="0" w:space="0" w:color="auto"/>
            <w:left w:val="none" w:sz="0" w:space="0" w:color="auto"/>
            <w:bottom w:val="none" w:sz="0" w:space="0" w:color="auto"/>
            <w:right w:val="none" w:sz="0" w:space="0" w:color="auto"/>
          </w:divBdr>
        </w:div>
        <w:div w:id="802234635">
          <w:marLeft w:val="0"/>
          <w:marRight w:val="0"/>
          <w:marTop w:val="0"/>
          <w:marBottom w:val="0"/>
          <w:divBdr>
            <w:top w:val="none" w:sz="0" w:space="0" w:color="auto"/>
            <w:left w:val="none" w:sz="0" w:space="0" w:color="auto"/>
            <w:bottom w:val="none" w:sz="0" w:space="0" w:color="auto"/>
            <w:right w:val="none" w:sz="0" w:space="0" w:color="auto"/>
          </w:divBdr>
        </w:div>
        <w:div w:id="848911352">
          <w:marLeft w:val="0"/>
          <w:marRight w:val="0"/>
          <w:marTop w:val="0"/>
          <w:marBottom w:val="0"/>
          <w:divBdr>
            <w:top w:val="none" w:sz="0" w:space="0" w:color="auto"/>
            <w:left w:val="none" w:sz="0" w:space="0" w:color="auto"/>
            <w:bottom w:val="none" w:sz="0" w:space="0" w:color="auto"/>
            <w:right w:val="none" w:sz="0" w:space="0" w:color="auto"/>
          </w:divBdr>
        </w:div>
        <w:div w:id="1263950614">
          <w:marLeft w:val="0"/>
          <w:marRight w:val="0"/>
          <w:marTop w:val="0"/>
          <w:marBottom w:val="0"/>
          <w:divBdr>
            <w:top w:val="none" w:sz="0" w:space="0" w:color="auto"/>
            <w:left w:val="none" w:sz="0" w:space="0" w:color="auto"/>
            <w:bottom w:val="none" w:sz="0" w:space="0" w:color="auto"/>
            <w:right w:val="none" w:sz="0" w:space="0" w:color="auto"/>
          </w:divBdr>
        </w:div>
        <w:div w:id="4678827">
          <w:marLeft w:val="0"/>
          <w:marRight w:val="0"/>
          <w:marTop w:val="0"/>
          <w:marBottom w:val="0"/>
          <w:divBdr>
            <w:top w:val="none" w:sz="0" w:space="0" w:color="auto"/>
            <w:left w:val="none" w:sz="0" w:space="0" w:color="auto"/>
            <w:bottom w:val="none" w:sz="0" w:space="0" w:color="auto"/>
            <w:right w:val="none" w:sz="0" w:space="0" w:color="auto"/>
          </w:divBdr>
        </w:div>
        <w:div w:id="530190619">
          <w:marLeft w:val="0"/>
          <w:marRight w:val="0"/>
          <w:marTop w:val="0"/>
          <w:marBottom w:val="0"/>
          <w:divBdr>
            <w:top w:val="none" w:sz="0" w:space="0" w:color="auto"/>
            <w:left w:val="none" w:sz="0" w:space="0" w:color="auto"/>
            <w:bottom w:val="none" w:sz="0" w:space="0" w:color="auto"/>
            <w:right w:val="none" w:sz="0" w:space="0" w:color="auto"/>
          </w:divBdr>
        </w:div>
        <w:div w:id="1476486040">
          <w:marLeft w:val="0"/>
          <w:marRight w:val="0"/>
          <w:marTop w:val="0"/>
          <w:marBottom w:val="0"/>
          <w:divBdr>
            <w:top w:val="none" w:sz="0" w:space="0" w:color="auto"/>
            <w:left w:val="none" w:sz="0" w:space="0" w:color="auto"/>
            <w:bottom w:val="none" w:sz="0" w:space="0" w:color="auto"/>
            <w:right w:val="none" w:sz="0" w:space="0" w:color="auto"/>
          </w:divBdr>
        </w:div>
        <w:div w:id="1857426578">
          <w:marLeft w:val="0"/>
          <w:marRight w:val="0"/>
          <w:marTop w:val="0"/>
          <w:marBottom w:val="0"/>
          <w:divBdr>
            <w:top w:val="none" w:sz="0" w:space="0" w:color="auto"/>
            <w:left w:val="none" w:sz="0" w:space="0" w:color="auto"/>
            <w:bottom w:val="none" w:sz="0" w:space="0" w:color="auto"/>
            <w:right w:val="none" w:sz="0" w:space="0" w:color="auto"/>
          </w:divBdr>
        </w:div>
        <w:div w:id="905995529">
          <w:marLeft w:val="0"/>
          <w:marRight w:val="0"/>
          <w:marTop w:val="0"/>
          <w:marBottom w:val="0"/>
          <w:divBdr>
            <w:top w:val="none" w:sz="0" w:space="0" w:color="auto"/>
            <w:left w:val="none" w:sz="0" w:space="0" w:color="auto"/>
            <w:bottom w:val="none" w:sz="0" w:space="0" w:color="auto"/>
            <w:right w:val="none" w:sz="0" w:space="0" w:color="auto"/>
          </w:divBdr>
        </w:div>
        <w:div w:id="870538052">
          <w:marLeft w:val="0"/>
          <w:marRight w:val="0"/>
          <w:marTop w:val="0"/>
          <w:marBottom w:val="0"/>
          <w:divBdr>
            <w:top w:val="none" w:sz="0" w:space="0" w:color="auto"/>
            <w:left w:val="none" w:sz="0" w:space="0" w:color="auto"/>
            <w:bottom w:val="none" w:sz="0" w:space="0" w:color="auto"/>
            <w:right w:val="none" w:sz="0" w:space="0" w:color="auto"/>
          </w:divBdr>
        </w:div>
        <w:div w:id="1685399037">
          <w:marLeft w:val="0"/>
          <w:marRight w:val="0"/>
          <w:marTop w:val="0"/>
          <w:marBottom w:val="0"/>
          <w:divBdr>
            <w:top w:val="none" w:sz="0" w:space="0" w:color="auto"/>
            <w:left w:val="none" w:sz="0" w:space="0" w:color="auto"/>
            <w:bottom w:val="none" w:sz="0" w:space="0" w:color="auto"/>
            <w:right w:val="none" w:sz="0" w:space="0" w:color="auto"/>
          </w:divBdr>
        </w:div>
        <w:div w:id="2076463696">
          <w:marLeft w:val="0"/>
          <w:marRight w:val="0"/>
          <w:marTop w:val="0"/>
          <w:marBottom w:val="0"/>
          <w:divBdr>
            <w:top w:val="none" w:sz="0" w:space="0" w:color="auto"/>
            <w:left w:val="none" w:sz="0" w:space="0" w:color="auto"/>
            <w:bottom w:val="none" w:sz="0" w:space="0" w:color="auto"/>
            <w:right w:val="none" w:sz="0" w:space="0" w:color="auto"/>
          </w:divBdr>
        </w:div>
        <w:div w:id="1444307485">
          <w:marLeft w:val="0"/>
          <w:marRight w:val="0"/>
          <w:marTop w:val="0"/>
          <w:marBottom w:val="0"/>
          <w:divBdr>
            <w:top w:val="none" w:sz="0" w:space="0" w:color="auto"/>
            <w:left w:val="none" w:sz="0" w:space="0" w:color="auto"/>
            <w:bottom w:val="none" w:sz="0" w:space="0" w:color="auto"/>
            <w:right w:val="none" w:sz="0" w:space="0" w:color="auto"/>
          </w:divBdr>
        </w:div>
        <w:div w:id="681444028">
          <w:marLeft w:val="0"/>
          <w:marRight w:val="0"/>
          <w:marTop w:val="0"/>
          <w:marBottom w:val="0"/>
          <w:divBdr>
            <w:top w:val="none" w:sz="0" w:space="0" w:color="auto"/>
            <w:left w:val="none" w:sz="0" w:space="0" w:color="auto"/>
            <w:bottom w:val="none" w:sz="0" w:space="0" w:color="auto"/>
            <w:right w:val="none" w:sz="0" w:space="0" w:color="auto"/>
          </w:divBdr>
        </w:div>
        <w:div w:id="1985308086">
          <w:marLeft w:val="0"/>
          <w:marRight w:val="0"/>
          <w:marTop w:val="0"/>
          <w:marBottom w:val="0"/>
          <w:divBdr>
            <w:top w:val="none" w:sz="0" w:space="0" w:color="auto"/>
            <w:left w:val="none" w:sz="0" w:space="0" w:color="auto"/>
            <w:bottom w:val="none" w:sz="0" w:space="0" w:color="auto"/>
            <w:right w:val="none" w:sz="0" w:space="0" w:color="auto"/>
          </w:divBdr>
        </w:div>
        <w:div w:id="800266507">
          <w:marLeft w:val="0"/>
          <w:marRight w:val="0"/>
          <w:marTop w:val="0"/>
          <w:marBottom w:val="0"/>
          <w:divBdr>
            <w:top w:val="none" w:sz="0" w:space="0" w:color="auto"/>
            <w:left w:val="none" w:sz="0" w:space="0" w:color="auto"/>
            <w:bottom w:val="none" w:sz="0" w:space="0" w:color="auto"/>
            <w:right w:val="none" w:sz="0" w:space="0" w:color="auto"/>
          </w:divBdr>
        </w:div>
        <w:div w:id="967469021">
          <w:marLeft w:val="0"/>
          <w:marRight w:val="0"/>
          <w:marTop w:val="0"/>
          <w:marBottom w:val="0"/>
          <w:divBdr>
            <w:top w:val="none" w:sz="0" w:space="0" w:color="auto"/>
            <w:left w:val="none" w:sz="0" w:space="0" w:color="auto"/>
            <w:bottom w:val="none" w:sz="0" w:space="0" w:color="auto"/>
            <w:right w:val="none" w:sz="0" w:space="0" w:color="auto"/>
          </w:divBdr>
        </w:div>
        <w:div w:id="830099595">
          <w:marLeft w:val="0"/>
          <w:marRight w:val="0"/>
          <w:marTop w:val="0"/>
          <w:marBottom w:val="0"/>
          <w:divBdr>
            <w:top w:val="none" w:sz="0" w:space="0" w:color="auto"/>
            <w:left w:val="none" w:sz="0" w:space="0" w:color="auto"/>
            <w:bottom w:val="none" w:sz="0" w:space="0" w:color="auto"/>
            <w:right w:val="none" w:sz="0" w:space="0" w:color="auto"/>
          </w:divBdr>
        </w:div>
        <w:div w:id="1925646302">
          <w:marLeft w:val="0"/>
          <w:marRight w:val="0"/>
          <w:marTop w:val="0"/>
          <w:marBottom w:val="0"/>
          <w:divBdr>
            <w:top w:val="none" w:sz="0" w:space="0" w:color="auto"/>
            <w:left w:val="none" w:sz="0" w:space="0" w:color="auto"/>
            <w:bottom w:val="none" w:sz="0" w:space="0" w:color="auto"/>
            <w:right w:val="none" w:sz="0" w:space="0" w:color="auto"/>
          </w:divBdr>
        </w:div>
        <w:div w:id="1280719007">
          <w:marLeft w:val="0"/>
          <w:marRight w:val="0"/>
          <w:marTop w:val="0"/>
          <w:marBottom w:val="0"/>
          <w:divBdr>
            <w:top w:val="none" w:sz="0" w:space="0" w:color="auto"/>
            <w:left w:val="none" w:sz="0" w:space="0" w:color="auto"/>
            <w:bottom w:val="none" w:sz="0" w:space="0" w:color="auto"/>
            <w:right w:val="none" w:sz="0" w:space="0" w:color="auto"/>
          </w:divBdr>
        </w:div>
        <w:div w:id="1451819892">
          <w:marLeft w:val="0"/>
          <w:marRight w:val="0"/>
          <w:marTop w:val="0"/>
          <w:marBottom w:val="0"/>
          <w:divBdr>
            <w:top w:val="none" w:sz="0" w:space="0" w:color="auto"/>
            <w:left w:val="none" w:sz="0" w:space="0" w:color="auto"/>
            <w:bottom w:val="none" w:sz="0" w:space="0" w:color="auto"/>
            <w:right w:val="none" w:sz="0" w:space="0" w:color="auto"/>
          </w:divBdr>
        </w:div>
        <w:div w:id="128673742">
          <w:marLeft w:val="0"/>
          <w:marRight w:val="0"/>
          <w:marTop w:val="0"/>
          <w:marBottom w:val="0"/>
          <w:divBdr>
            <w:top w:val="none" w:sz="0" w:space="0" w:color="auto"/>
            <w:left w:val="none" w:sz="0" w:space="0" w:color="auto"/>
            <w:bottom w:val="none" w:sz="0" w:space="0" w:color="auto"/>
            <w:right w:val="none" w:sz="0" w:space="0" w:color="auto"/>
          </w:divBdr>
        </w:div>
        <w:div w:id="1783038239">
          <w:marLeft w:val="0"/>
          <w:marRight w:val="0"/>
          <w:marTop w:val="0"/>
          <w:marBottom w:val="0"/>
          <w:divBdr>
            <w:top w:val="none" w:sz="0" w:space="0" w:color="auto"/>
            <w:left w:val="none" w:sz="0" w:space="0" w:color="auto"/>
            <w:bottom w:val="none" w:sz="0" w:space="0" w:color="auto"/>
            <w:right w:val="none" w:sz="0" w:space="0" w:color="auto"/>
          </w:divBdr>
        </w:div>
        <w:div w:id="2058359233">
          <w:marLeft w:val="0"/>
          <w:marRight w:val="0"/>
          <w:marTop w:val="0"/>
          <w:marBottom w:val="0"/>
          <w:divBdr>
            <w:top w:val="none" w:sz="0" w:space="0" w:color="auto"/>
            <w:left w:val="none" w:sz="0" w:space="0" w:color="auto"/>
            <w:bottom w:val="none" w:sz="0" w:space="0" w:color="auto"/>
            <w:right w:val="none" w:sz="0" w:space="0" w:color="auto"/>
          </w:divBdr>
        </w:div>
        <w:div w:id="708771865">
          <w:marLeft w:val="0"/>
          <w:marRight w:val="0"/>
          <w:marTop w:val="0"/>
          <w:marBottom w:val="0"/>
          <w:divBdr>
            <w:top w:val="none" w:sz="0" w:space="0" w:color="auto"/>
            <w:left w:val="none" w:sz="0" w:space="0" w:color="auto"/>
            <w:bottom w:val="none" w:sz="0" w:space="0" w:color="auto"/>
            <w:right w:val="none" w:sz="0" w:space="0" w:color="auto"/>
          </w:divBdr>
        </w:div>
      </w:divsChild>
    </w:div>
    <w:div w:id="1128939792">
      <w:bodyDiv w:val="1"/>
      <w:marLeft w:val="0"/>
      <w:marRight w:val="0"/>
      <w:marTop w:val="0"/>
      <w:marBottom w:val="0"/>
      <w:divBdr>
        <w:top w:val="none" w:sz="0" w:space="0" w:color="auto"/>
        <w:left w:val="none" w:sz="0" w:space="0" w:color="auto"/>
        <w:bottom w:val="none" w:sz="0" w:space="0" w:color="auto"/>
        <w:right w:val="none" w:sz="0" w:space="0" w:color="auto"/>
      </w:divBdr>
      <w:divsChild>
        <w:div w:id="513501394">
          <w:marLeft w:val="0"/>
          <w:marRight w:val="0"/>
          <w:marTop w:val="0"/>
          <w:marBottom w:val="0"/>
          <w:divBdr>
            <w:top w:val="none" w:sz="0" w:space="0" w:color="auto"/>
            <w:left w:val="none" w:sz="0" w:space="0" w:color="auto"/>
            <w:bottom w:val="none" w:sz="0" w:space="0" w:color="auto"/>
            <w:right w:val="none" w:sz="0" w:space="0" w:color="auto"/>
          </w:divBdr>
        </w:div>
        <w:div w:id="1600332028">
          <w:marLeft w:val="0"/>
          <w:marRight w:val="0"/>
          <w:marTop w:val="0"/>
          <w:marBottom w:val="0"/>
          <w:divBdr>
            <w:top w:val="none" w:sz="0" w:space="0" w:color="auto"/>
            <w:left w:val="none" w:sz="0" w:space="0" w:color="auto"/>
            <w:bottom w:val="none" w:sz="0" w:space="0" w:color="auto"/>
            <w:right w:val="none" w:sz="0" w:space="0" w:color="auto"/>
          </w:divBdr>
        </w:div>
        <w:div w:id="1775442123">
          <w:marLeft w:val="0"/>
          <w:marRight w:val="0"/>
          <w:marTop w:val="0"/>
          <w:marBottom w:val="0"/>
          <w:divBdr>
            <w:top w:val="none" w:sz="0" w:space="0" w:color="auto"/>
            <w:left w:val="none" w:sz="0" w:space="0" w:color="auto"/>
            <w:bottom w:val="none" w:sz="0" w:space="0" w:color="auto"/>
            <w:right w:val="none" w:sz="0" w:space="0" w:color="auto"/>
          </w:divBdr>
        </w:div>
        <w:div w:id="791284025">
          <w:marLeft w:val="0"/>
          <w:marRight w:val="0"/>
          <w:marTop w:val="0"/>
          <w:marBottom w:val="0"/>
          <w:divBdr>
            <w:top w:val="none" w:sz="0" w:space="0" w:color="auto"/>
            <w:left w:val="none" w:sz="0" w:space="0" w:color="auto"/>
            <w:bottom w:val="none" w:sz="0" w:space="0" w:color="auto"/>
            <w:right w:val="none" w:sz="0" w:space="0" w:color="auto"/>
          </w:divBdr>
        </w:div>
        <w:div w:id="1681737237">
          <w:marLeft w:val="0"/>
          <w:marRight w:val="0"/>
          <w:marTop w:val="0"/>
          <w:marBottom w:val="0"/>
          <w:divBdr>
            <w:top w:val="none" w:sz="0" w:space="0" w:color="auto"/>
            <w:left w:val="none" w:sz="0" w:space="0" w:color="auto"/>
            <w:bottom w:val="none" w:sz="0" w:space="0" w:color="auto"/>
            <w:right w:val="none" w:sz="0" w:space="0" w:color="auto"/>
          </w:divBdr>
        </w:div>
        <w:div w:id="950631479">
          <w:marLeft w:val="0"/>
          <w:marRight w:val="0"/>
          <w:marTop w:val="0"/>
          <w:marBottom w:val="0"/>
          <w:divBdr>
            <w:top w:val="none" w:sz="0" w:space="0" w:color="auto"/>
            <w:left w:val="none" w:sz="0" w:space="0" w:color="auto"/>
            <w:bottom w:val="none" w:sz="0" w:space="0" w:color="auto"/>
            <w:right w:val="none" w:sz="0" w:space="0" w:color="auto"/>
          </w:divBdr>
        </w:div>
        <w:div w:id="1872378139">
          <w:marLeft w:val="0"/>
          <w:marRight w:val="0"/>
          <w:marTop w:val="0"/>
          <w:marBottom w:val="0"/>
          <w:divBdr>
            <w:top w:val="none" w:sz="0" w:space="0" w:color="auto"/>
            <w:left w:val="none" w:sz="0" w:space="0" w:color="auto"/>
            <w:bottom w:val="none" w:sz="0" w:space="0" w:color="auto"/>
            <w:right w:val="none" w:sz="0" w:space="0" w:color="auto"/>
          </w:divBdr>
        </w:div>
        <w:div w:id="1760172002">
          <w:marLeft w:val="0"/>
          <w:marRight w:val="0"/>
          <w:marTop w:val="0"/>
          <w:marBottom w:val="0"/>
          <w:divBdr>
            <w:top w:val="none" w:sz="0" w:space="0" w:color="auto"/>
            <w:left w:val="none" w:sz="0" w:space="0" w:color="auto"/>
            <w:bottom w:val="none" w:sz="0" w:space="0" w:color="auto"/>
            <w:right w:val="none" w:sz="0" w:space="0" w:color="auto"/>
          </w:divBdr>
        </w:div>
        <w:div w:id="1073815493">
          <w:marLeft w:val="0"/>
          <w:marRight w:val="0"/>
          <w:marTop w:val="0"/>
          <w:marBottom w:val="0"/>
          <w:divBdr>
            <w:top w:val="none" w:sz="0" w:space="0" w:color="auto"/>
            <w:left w:val="none" w:sz="0" w:space="0" w:color="auto"/>
            <w:bottom w:val="none" w:sz="0" w:space="0" w:color="auto"/>
            <w:right w:val="none" w:sz="0" w:space="0" w:color="auto"/>
          </w:divBdr>
        </w:div>
        <w:div w:id="1305083952">
          <w:marLeft w:val="0"/>
          <w:marRight w:val="0"/>
          <w:marTop w:val="0"/>
          <w:marBottom w:val="0"/>
          <w:divBdr>
            <w:top w:val="none" w:sz="0" w:space="0" w:color="auto"/>
            <w:left w:val="none" w:sz="0" w:space="0" w:color="auto"/>
            <w:bottom w:val="none" w:sz="0" w:space="0" w:color="auto"/>
            <w:right w:val="none" w:sz="0" w:space="0" w:color="auto"/>
          </w:divBdr>
        </w:div>
        <w:div w:id="1271084600">
          <w:marLeft w:val="0"/>
          <w:marRight w:val="0"/>
          <w:marTop w:val="0"/>
          <w:marBottom w:val="0"/>
          <w:divBdr>
            <w:top w:val="none" w:sz="0" w:space="0" w:color="auto"/>
            <w:left w:val="none" w:sz="0" w:space="0" w:color="auto"/>
            <w:bottom w:val="none" w:sz="0" w:space="0" w:color="auto"/>
            <w:right w:val="none" w:sz="0" w:space="0" w:color="auto"/>
          </w:divBdr>
        </w:div>
        <w:div w:id="530873550">
          <w:marLeft w:val="0"/>
          <w:marRight w:val="0"/>
          <w:marTop w:val="0"/>
          <w:marBottom w:val="0"/>
          <w:divBdr>
            <w:top w:val="none" w:sz="0" w:space="0" w:color="auto"/>
            <w:left w:val="none" w:sz="0" w:space="0" w:color="auto"/>
            <w:bottom w:val="none" w:sz="0" w:space="0" w:color="auto"/>
            <w:right w:val="none" w:sz="0" w:space="0" w:color="auto"/>
          </w:divBdr>
        </w:div>
        <w:div w:id="364402350">
          <w:marLeft w:val="0"/>
          <w:marRight w:val="0"/>
          <w:marTop w:val="0"/>
          <w:marBottom w:val="0"/>
          <w:divBdr>
            <w:top w:val="none" w:sz="0" w:space="0" w:color="auto"/>
            <w:left w:val="none" w:sz="0" w:space="0" w:color="auto"/>
            <w:bottom w:val="none" w:sz="0" w:space="0" w:color="auto"/>
            <w:right w:val="none" w:sz="0" w:space="0" w:color="auto"/>
          </w:divBdr>
        </w:div>
        <w:div w:id="2011829330">
          <w:marLeft w:val="0"/>
          <w:marRight w:val="0"/>
          <w:marTop w:val="0"/>
          <w:marBottom w:val="0"/>
          <w:divBdr>
            <w:top w:val="none" w:sz="0" w:space="0" w:color="auto"/>
            <w:left w:val="none" w:sz="0" w:space="0" w:color="auto"/>
            <w:bottom w:val="none" w:sz="0" w:space="0" w:color="auto"/>
            <w:right w:val="none" w:sz="0" w:space="0" w:color="auto"/>
          </w:divBdr>
        </w:div>
        <w:div w:id="400374638">
          <w:marLeft w:val="0"/>
          <w:marRight w:val="0"/>
          <w:marTop w:val="0"/>
          <w:marBottom w:val="0"/>
          <w:divBdr>
            <w:top w:val="none" w:sz="0" w:space="0" w:color="auto"/>
            <w:left w:val="none" w:sz="0" w:space="0" w:color="auto"/>
            <w:bottom w:val="none" w:sz="0" w:space="0" w:color="auto"/>
            <w:right w:val="none" w:sz="0" w:space="0" w:color="auto"/>
          </w:divBdr>
        </w:div>
        <w:div w:id="280839956">
          <w:marLeft w:val="0"/>
          <w:marRight w:val="0"/>
          <w:marTop w:val="0"/>
          <w:marBottom w:val="0"/>
          <w:divBdr>
            <w:top w:val="none" w:sz="0" w:space="0" w:color="auto"/>
            <w:left w:val="none" w:sz="0" w:space="0" w:color="auto"/>
            <w:bottom w:val="none" w:sz="0" w:space="0" w:color="auto"/>
            <w:right w:val="none" w:sz="0" w:space="0" w:color="auto"/>
          </w:divBdr>
        </w:div>
        <w:div w:id="1447695723">
          <w:marLeft w:val="0"/>
          <w:marRight w:val="0"/>
          <w:marTop w:val="0"/>
          <w:marBottom w:val="0"/>
          <w:divBdr>
            <w:top w:val="none" w:sz="0" w:space="0" w:color="auto"/>
            <w:left w:val="none" w:sz="0" w:space="0" w:color="auto"/>
            <w:bottom w:val="none" w:sz="0" w:space="0" w:color="auto"/>
            <w:right w:val="none" w:sz="0" w:space="0" w:color="auto"/>
          </w:divBdr>
        </w:div>
        <w:div w:id="886261351">
          <w:marLeft w:val="0"/>
          <w:marRight w:val="0"/>
          <w:marTop w:val="0"/>
          <w:marBottom w:val="0"/>
          <w:divBdr>
            <w:top w:val="none" w:sz="0" w:space="0" w:color="auto"/>
            <w:left w:val="none" w:sz="0" w:space="0" w:color="auto"/>
            <w:bottom w:val="none" w:sz="0" w:space="0" w:color="auto"/>
            <w:right w:val="none" w:sz="0" w:space="0" w:color="auto"/>
          </w:divBdr>
        </w:div>
        <w:div w:id="2090882840">
          <w:marLeft w:val="0"/>
          <w:marRight w:val="0"/>
          <w:marTop w:val="0"/>
          <w:marBottom w:val="0"/>
          <w:divBdr>
            <w:top w:val="none" w:sz="0" w:space="0" w:color="auto"/>
            <w:left w:val="none" w:sz="0" w:space="0" w:color="auto"/>
            <w:bottom w:val="none" w:sz="0" w:space="0" w:color="auto"/>
            <w:right w:val="none" w:sz="0" w:space="0" w:color="auto"/>
          </w:divBdr>
        </w:div>
        <w:div w:id="1307389860">
          <w:marLeft w:val="0"/>
          <w:marRight w:val="0"/>
          <w:marTop w:val="0"/>
          <w:marBottom w:val="0"/>
          <w:divBdr>
            <w:top w:val="none" w:sz="0" w:space="0" w:color="auto"/>
            <w:left w:val="none" w:sz="0" w:space="0" w:color="auto"/>
            <w:bottom w:val="none" w:sz="0" w:space="0" w:color="auto"/>
            <w:right w:val="none" w:sz="0" w:space="0" w:color="auto"/>
          </w:divBdr>
        </w:div>
        <w:div w:id="1339699541">
          <w:marLeft w:val="0"/>
          <w:marRight w:val="0"/>
          <w:marTop w:val="0"/>
          <w:marBottom w:val="0"/>
          <w:divBdr>
            <w:top w:val="none" w:sz="0" w:space="0" w:color="auto"/>
            <w:left w:val="none" w:sz="0" w:space="0" w:color="auto"/>
            <w:bottom w:val="none" w:sz="0" w:space="0" w:color="auto"/>
            <w:right w:val="none" w:sz="0" w:space="0" w:color="auto"/>
          </w:divBdr>
        </w:div>
        <w:div w:id="291718498">
          <w:marLeft w:val="0"/>
          <w:marRight w:val="0"/>
          <w:marTop w:val="0"/>
          <w:marBottom w:val="0"/>
          <w:divBdr>
            <w:top w:val="none" w:sz="0" w:space="0" w:color="auto"/>
            <w:left w:val="none" w:sz="0" w:space="0" w:color="auto"/>
            <w:bottom w:val="none" w:sz="0" w:space="0" w:color="auto"/>
            <w:right w:val="none" w:sz="0" w:space="0" w:color="auto"/>
          </w:divBdr>
        </w:div>
        <w:div w:id="1856994437">
          <w:marLeft w:val="0"/>
          <w:marRight w:val="0"/>
          <w:marTop w:val="0"/>
          <w:marBottom w:val="0"/>
          <w:divBdr>
            <w:top w:val="none" w:sz="0" w:space="0" w:color="auto"/>
            <w:left w:val="none" w:sz="0" w:space="0" w:color="auto"/>
            <w:bottom w:val="none" w:sz="0" w:space="0" w:color="auto"/>
            <w:right w:val="none" w:sz="0" w:space="0" w:color="auto"/>
          </w:divBdr>
        </w:div>
        <w:div w:id="724597146">
          <w:marLeft w:val="0"/>
          <w:marRight w:val="0"/>
          <w:marTop w:val="0"/>
          <w:marBottom w:val="0"/>
          <w:divBdr>
            <w:top w:val="none" w:sz="0" w:space="0" w:color="auto"/>
            <w:left w:val="none" w:sz="0" w:space="0" w:color="auto"/>
            <w:bottom w:val="none" w:sz="0" w:space="0" w:color="auto"/>
            <w:right w:val="none" w:sz="0" w:space="0" w:color="auto"/>
          </w:divBdr>
        </w:div>
        <w:div w:id="969631338">
          <w:marLeft w:val="0"/>
          <w:marRight w:val="0"/>
          <w:marTop w:val="0"/>
          <w:marBottom w:val="0"/>
          <w:divBdr>
            <w:top w:val="none" w:sz="0" w:space="0" w:color="auto"/>
            <w:left w:val="none" w:sz="0" w:space="0" w:color="auto"/>
            <w:bottom w:val="none" w:sz="0" w:space="0" w:color="auto"/>
            <w:right w:val="none" w:sz="0" w:space="0" w:color="auto"/>
          </w:divBdr>
        </w:div>
        <w:div w:id="687603888">
          <w:marLeft w:val="0"/>
          <w:marRight w:val="0"/>
          <w:marTop w:val="0"/>
          <w:marBottom w:val="0"/>
          <w:divBdr>
            <w:top w:val="none" w:sz="0" w:space="0" w:color="auto"/>
            <w:left w:val="none" w:sz="0" w:space="0" w:color="auto"/>
            <w:bottom w:val="none" w:sz="0" w:space="0" w:color="auto"/>
            <w:right w:val="none" w:sz="0" w:space="0" w:color="auto"/>
          </w:divBdr>
        </w:div>
        <w:div w:id="1510826788">
          <w:marLeft w:val="0"/>
          <w:marRight w:val="0"/>
          <w:marTop w:val="0"/>
          <w:marBottom w:val="0"/>
          <w:divBdr>
            <w:top w:val="none" w:sz="0" w:space="0" w:color="auto"/>
            <w:left w:val="none" w:sz="0" w:space="0" w:color="auto"/>
            <w:bottom w:val="none" w:sz="0" w:space="0" w:color="auto"/>
            <w:right w:val="none" w:sz="0" w:space="0" w:color="auto"/>
          </w:divBdr>
        </w:div>
        <w:div w:id="1991665176">
          <w:marLeft w:val="0"/>
          <w:marRight w:val="0"/>
          <w:marTop w:val="0"/>
          <w:marBottom w:val="0"/>
          <w:divBdr>
            <w:top w:val="none" w:sz="0" w:space="0" w:color="auto"/>
            <w:left w:val="none" w:sz="0" w:space="0" w:color="auto"/>
            <w:bottom w:val="none" w:sz="0" w:space="0" w:color="auto"/>
            <w:right w:val="none" w:sz="0" w:space="0" w:color="auto"/>
          </w:divBdr>
        </w:div>
        <w:div w:id="1452893110">
          <w:marLeft w:val="0"/>
          <w:marRight w:val="0"/>
          <w:marTop w:val="0"/>
          <w:marBottom w:val="0"/>
          <w:divBdr>
            <w:top w:val="none" w:sz="0" w:space="0" w:color="auto"/>
            <w:left w:val="none" w:sz="0" w:space="0" w:color="auto"/>
            <w:bottom w:val="none" w:sz="0" w:space="0" w:color="auto"/>
            <w:right w:val="none" w:sz="0" w:space="0" w:color="auto"/>
          </w:divBdr>
        </w:div>
        <w:div w:id="1348941905">
          <w:marLeft w:val="0"/>
          <w:marRight w:val="0"/>
          <w:marTop w:val="0"/>
          <w:marBottom w:val="0"/>
          <w:divBdr>
            <w:top w:val="none" w:sz="0" w:space="0" w:color="auto"/>
            <w:left w:val="none" w:sz="0" w:space="0" w:color="auto"/>
            <w:bottom w:val="none" w:sz="0" w:space="0" w:color="auto"/>
            <w:right w:val="none" w:sz="0" w:space="0" w:color="auto"/>
          </w:divBdr>
        </w:div>
        <w:div w:id="247541898">
          <w:marLeft w:val="0"/>
          <w:marRight w:val="0"/>
          <w:marTop w:val="0"/>
          <w:marBottom w:val="0"/>
          <w:divBdr>
            <w:top w:val="none" w:sz="0" w:space="0" w:color="auto"/>
            <w:left w:val="none" w:sz="0" w:space="0" w:color="auto"/>
            <w:bottom w:val="none" w:sz="0" w:space="0" w:color="auto"/>
            <w:right w:val="none" w:sz="0" w:space="0" w:color="auto"/>
          </w:divBdr>
        </w:div>
        <w:div w:id="981158759">
          <w:marLeft w:val="0"/>
          <w:marRight w:val="0"/>
          <w:marTop w:val="0"/>
          <w:marBottom w:val="0"/>
          <w:divBdr>
            <w:top w:val="none" w:sz="0" w:space="0" w:color="auto"/>
            <w:left w:val="none" w:sz="0" w:space="0" w:color="auto"/>
            <w:bottom w:val="none" w:sz="0" w:space="0" w:color="auto"/>
            <w:right w:val="none" w:sz="0" w:space="0" w:color="auto"/>
          </w:divBdr>
        </w:div>
        <w:div w:id="1353416368">
          <w:marLeft w:val="0"/>
          <w:marRight w:val="0"/>
          <w:marTop w:val="0"/>
          <w:marBottom w:val="0"/>
          <w:divBdr>
            <w:top w:val="none" w:sz="0" w:space="0" w:color="auto"/>
            <w:left w:val="none" w:sz="0" w:space="0" w:color="auto"/>
            <w:bottom w:val="none" w:sz="0" w:space="0" w:color="auto"/>
            <w:right w:val="none" w:sz="0" w:space="0" w:color="auto"/>
          </w:divBdr>
        </w:div>
        <w:div w:id="1595936343">
          <w:marLeft w:val="0"/>
          <w:marRight w:val="0"/>
          <w:marTop w:val="0"/>
          <w:marBottom w:val="0"/>
          <w:divBdr>
            <w:top w:val="none" w:sz="0" w:space="0" w:color="auto"/>
            <w:left w:val="none" w:sz="0" w:space="0" w:color="auto"/>
            <w:bottom w:val="none" w:sz="0" w:space="0" w:color="auto"/>
            <w:right w:val="none" w:sz="0" w:space="0" w:color="auto"/>
          </w:divBdr>
        </w:div>
        <w:div w:id="443382391">
          <w:marLeft w:val="0"/>
          <w:marRight w:val="0"/>
          <w:marTop w:val="0"/>
          <w:marBottom w:val="0"/>
          <w:divBdr>
            <w:top w:val="none" w:sz="0" w:space="0" w:color="auto"/>
            <w:left w:val="none" w:sz="0" w:space="0" w:color="auto"/>
            <w:bottom w:val="none" w:sz="0" w:space="0" w:color="auto"/>
            <w:right w:val="none" w:sz="0" w:space="0" w:color="auto"/>
          </w:divBdr>
        </w:div>
        <w:div w:id="1178665411">
          <w:marLeft w:val="0"/>
          <w:marRight w:val="0"/>
          <w:marTop w:val="0"/>
          <w:marBottom w:val="0"/>
          <w:divBdr>
            <w:top w:val="none" w:sz="0" w:space="0" w:color="auto"/>
            <w:left w:val="none" w:sz="0" w:space="0" w:color="auto"/>
            <w:bottom w:val="none" w:sz="0" w:space="0" w:color="auto"/>
            <w:right w:val="none" w:sz="0" w:space="0" w:color="auto"/>
          </w:divBdr>
        </w:div>
        <w:div w:id="654451961">
          <w:marLeft w:val="0"/>
          <w:marRight w:val="0"/>
          <w:marTop w:val="0"/>
          <w:marBottom w:val="0"/>
          <w:divBdr>
            <w:top w:val="none" w:sz="0" w:space="0" w:color="auto"/>
            <w:left w:val="none" w:sz="0" w:space="0" w:color="auto"/>
            <w:bottom w:val="none" w:sz="0" w:space="0" w:color="auto"/>
            <w:right w:val="none" w:sz="0" w:space="0" w:color="auto"/>
          </w:divBdr>
        </w:div>
        <w:div w:id="112330423">
          <w:marLeft w:val="0"/>
          <w:marRight w:val="0"/>
          <w:marTop w:val="0"/>
          <w:marBottom w:val="0"/>
          <w:divBdr>
            <w:top w:val="none" w:sz="0" w:space="0" w:color="auto"/>
            <w:left w:val="none" w:sz="0" w:space="0" w:color="auto"/>
            <w:bottom w:val="none" w:sz="0" w:space="0" w:color="auto"/>
            <w:right w:val="none" w:sz="0" w:space="0" w:color="auto"/>
          </w:divBdr>
        </w:div>
        <w:div w:id="908805290">
          <w:marLeft w:val="0"/>
          <w:marRight w:val="0"/>
          <w:marTop w:val="0"/>
          <w:marBottom w:val="0"/>
          <w:divBdr>
            <w:top w:val="none" w:sz="0" w:space="0" w:color="auto"/>
            <w:left w:val="none" w:sz="0" w:space="0" w:color="auto"/>
            <w:bottom w:val="none" w:sz="0" w:space="0" w:color="auto"/>
            <w:right w:val="none" w:sz="0" w:space="0" w:color="auto"/>
          </w:divBdr>
        </w:div>
      </w:divsChild>
    </w:div>
    <w:div w:id="1966153905">
      <w:bodyDiv w:val="1"/>
      <w:marLeft w:val="0"/>
      <w:marRight w:val="0"/>
      <w:marTop w:val="0"/>
      <w:marBottom w:val="0"/>
      <w:divBdr>
        <w:top w:val="none" w:sz="0" w:space="0" w:color="auto"/>
        <w:left w:val="none" w:sz="0" w:space="0" w:color="auto"/>
        <w:bottom w:val="none" w:sz="0" w:space="0" w:color="auto"/>
        <w:right w:val="none" w:sz="0" w:space="0" w:color="auto"/>
      </w:divBdr>
      <w:divsChild>
        <w:div w:id="1456489092">
          <w:marLeft w:val="0"/>
          <w:marRight w:val="0"/>
          <w:marTop w:val="0"/>
          <w:marBottom w:val="0"/>
          <w:divBdr>
            <w:top w:val="none" w:sz="0" w:space="0" w:color="auto"/>
            <w:left w:val="none" w:sz="0" w:space="0" w:color="auto"/>
            <w:bottom w:val="none" w:sz="0" w:space="0" w:color="auto"/>
            <w:right w:val="none" w:sz="0" w:space="0" w:color="auto"/>
          </w:divBdr>
        </w:div>
        <w:div w:id="1643731468">
          <w:marLeft w:val="0"/>
          <w:marRight w:val="0"/>
          <w:marTop w:val="0"/>
          <w:marBottom w:val="0"/>
          <w:divBdr>
            <w:top w:val="none" w:sz="0" w:space="0" w:color="auto"/>
            <w:left w:val="none" w:sz="0" w:space="0" w:color="auto"/>
            <w:bottom w:val="none" w:sz="0" w:space="0" w:color="auto"/>
            <w:right w:val="none" w:sz="0" w:space="0" w:color="auto"/>
          </w:divBdr>
        </w:div>
        <w:div w:id="6148679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3109</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John Marshall Law School</Company>
  <LinksUpToDate>false</LinksUpToDate>
  <CharactersWithSpaces>20790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Sarbani Mukherjee</dc:creator>
  <cp:lastModifiedBy>Windows User</cp:lastModifiedBy>
  <cp:revision>3</cp:revision>
  <dcterms:created xsi:type="dcterms:W3CDTF">2013-06-26T14:37:00Z</dcterms:created>
  <dcterms:modified xsi:type="dcterms:W3CDTF">2013-06-26T14:38:00Z</dcterms:modified>
</cp:coreProperties>
</file>