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0037F" w:rsidRDefault="0040037F" w:rsidP="0040037F">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214120" cy="762000"/>
            <wp:effectExtent l="25400" t="0" r="0" b="0"/>
            <wp:wrapSquare wrapText="bothSides"/>
            <wp:docPr id="1" name="Imagen 1" descr="C:\Users\Larissa\Downloads\RIADIS - Final_305X19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issa\Downloads\RIADIS - Final_305X191_Logo.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214120" cy="76200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0</wp:posOffset>
            </wp:positionV>
            <wp:extent cx="2072640" cy="457200"/>
            <wp:effectExtent l="25400" t="0" r="10160" b="0"/>
            <wp:wrapTight wrapText="bothSides">
              <wp:wrapPolygon edited="0">
                <wp:start x="-265" y="0"/>
                <wp:lineTo x="-265" y="20400"/>
                <wp:lineTo x="21706" y="20400"/>
                <wp:lineTo x="21706" y="0"/>
                <wp:lineTo x="-265" y="0"/>
              </wp:wrapPolygon>
            </wp:wrapTight>
            <wp:docPr id="4" name="Picture 3" descr="logo_wnu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nusp"/>
                    <pic:cNvPicPr>
                      <a:picLocks noChangeAspect="1" noChangeArrowheads="1"/>
                    </pic:cNvPicPr>
                  </pic:nvPicPr>
                  <pic:blipFill>
                    <a:blip r:embed="rId6"/>
                    <a:srcRect/>
                    <a:stretch>
                      <a:fillRect/>
                    </a:stretch>
                  </pic:blipFill>
                  <pic:spPr bwMode="auto">
                    <a:xfrm>
                      <a:off x="0" y="0"/>
                      <a:ext cx="2072640" cy="457200"/>
                    </a:xfrm>
                    <a:prstGeom prst="rect">
                      <a:avLst/>
                    </a:prstGeom>
                    <a:noFill/>
                    <a:ln w="9525">
                      <a:noFill/>
                      <a:miter lim="800000"/>
                      <a:headEnd/>
                      <a:tailEnd/>
                    </a:ln>
                  </pic:spPr>
                </pic:pic>
              </a:graphicData>
            </a:graphic>
          </wp:anchor>
        </w:drawing>
      </w:r>
      <w:r>
        <w:t xml:space="preserve">        </w:t>
      </w:r>
      <w:r w:rsidRPr="0040037F">
        <w:rPr>
          <w:noProof/>
        </w:rPr>
        <w:drawing>
          <wp:inline distT="0" distB="0" distL="0" distR="0">
            <wp:extent cx="1227667" cy="911450"/>
            <wp:effectExtent l="0" t="0" r="0" b="0"/>
            <wp:docPr id="2"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ve:AlternateContent xmlns:ma="http://schemas.microsoft.com/office/mac/drawingml/2008/main">
                    <ve:Choice Requires="ma">
                      <pic:blipFill>
                        <a:blip r:embed="rId7"/>
                        <a:srcRect/>
                        <a:stretch>
                          <a:fillRect/>
                        </a:stretch>
                      </pic:blipFill>
                    </ve:Choice>
                    <ve:Fallback xmlns:pic="http://schemas.openxmlformats.org/drawingml/2006/picture" xmlns:a="http://schemas.openxmlformats.org/drawingml/2006/main" xmlns:wp="http://schemas.openxmlformats.org/drawingml/2006/wordprocessingDrawing" xmlns:wne="http://schemas.microsoft.com/office/word/2006/wordml" xmlns:w="http://schemas.openxmlformats.org/wordprocessingml/2006/main" xmlns:w10="urn:schemas-microsoft-com:office:word" xmlns:v="urn:schemas-microsoft-com:vml" xmlns:m="http://schemas.openxmlformats.org/officeDocument/2006/math" xmlns:r="http://schemas.openxmlformats.org/officeDocument/2006/relationships" xmlns:o="urn:schemas-microsoft-com:office:office" xmlns:ve="http://schemas.openxmlformats.org/markup-compatibility/2006" xmlns:mo="http://schemas.microsoft.com/office/mac/office/2008/main" xmlns:mv="urn:schemas-microsoft-com:mac:vml" xmlns="">
                      <pic:blipFill>
                        <a:blip r:embed="rId8"/>
                        <a:srcRect/>
                        <a:stretch>
                          <a:fillRect/>
                        </a:stretch>
                      </pic:blipFill>
                    </ve:Fallback>
                  </ve:AlternateContent>
                  <pic:spPr bwMode="auto">
                    <a:xfrm>
                      <a:off x="0" y="0"/>
                      <a:ext cx="1234440" cy="916479"/>
                    </a:xfrm>
                    <a:prstGeom prst="rect">
                      <a:avLst/>
                    </a:prstGeom>
                    <a:noFill/>
                    <a:ln w="9525">
                      <a:noFill/>
                      <a:miter lim="800000"/>
                      <a:headEnd/>
                      <a:tailEnd/>
                    </a:ln>
                  </pic:spPr>
                </pic:pic>
              </a:graphicData>
            </a:graphic>
          </wp:inline>
        </w:drawing>
      </w:r>
      <w:bookmarkStart w:id="0" w:name="_GoBack"/>
      <w:bookmarkEnd w:id="0"/>
    </w:p>
    <w:p w:rsidR="0040037F" w:rsidRDefault="0040037F" w:rsidP="00302036"/>
    <w:p w:rsidR="0040037F" w:rsidRDefault="0040037F" w:rsidP="00302036"/>
    <w:p w:rsidR="0040037F" w:rsidRPr="0040037F" w:rsidRDefault="0040037F" w:rsidP="00302036">
      <w:pPr>
        <w:rPr>
          <w:b/>
        </w:rPr>
      </w:pPr>
      <w:r w:rsidRPr="0040037F">
        <w:rPr>
          <w:b/>
        </w:rPr>
        <w:t>RECOMMENDATIONS FOR OAS DRAFT TEXT ON RIGHTS OF OLDER PERSONS, TO CONFORM TO CRPD</w:t>
      </w:r>
    </w:p>
    <w:p w:rsidR="0040037F" w:rsidRDefault="0040037F" w:rsidP="00302036"/>
    <w:p w:rsidR="0040037F" w:rsidRDefault="0040037F" w:rsidP="00302036">
      <w:r>
        <w:t>19 August 2013</w:t>
      </w:r>
    </w:p>
    <w:p w:rsidR="0040037F" w:rsidRDefault="0040037F" w:rsidP="00302036"/>
    <w:p w:rsidR="0065456D" w:rsidRDefault="0065456D" w:rsidP="00302036">
      <w:r>
        <w:t xml:space="preserve">New instruments on the rights of older persons must be consistent with all provisions and principles of Convention on the Rights of Persons with Disabilities, given that there is a large overlap of intersectional discrimination based on age and disability.  This affects persons with disabilities who age, older persons who acquire age-related disabilities, and older persons who may not consider themselves persons with disabilities but who face discrimination when society ascribes to them any form of impairment or limitation in abilities and imposes adverse treatment on this basis.  Persons diagnosed with dementia are an example of older persons who acquire age-related disabilities.  Older persons who are deprived of their legal capacity and older persons who are institutionalized against their will are example of older persons who experience adverse treatment because society ascribes to them some type of impairment or limitation in abilities.  </w:t>
      </w:r>
      <w:r w:rsidR="004D5ECC">
        <w:t>The CRPD prohibits the deprivation of legal capacity and the institutionalization of any person against his or her will, and a new treaty must adhere to the same standards or risk derogation of existing human rights.</w:t>
      </w:r>
    </w:p>
    <w:p w:rsidR="0065456D" w:rsidRDefault="0065456D" w:rsidP="00302036"/>
    <w:p w:rsidR="004D5ECC" w:rsidRDefault="0065456D" w:rsidP="00302036">
      <w:r>
        <w:t xml:space="preserve">The OAS draft text has incorporated the provisions of CRPD Article 12 on equal recognition before the law, which addresses legal capacity.  The Mission of Uruguay on behalf of MERCOSUR has proposed in addition to incorporate the provisions of CRPD Article 9 on accessibility and CRPD Article 19 on living independently in the community.  These are valuable additions, and the right to live independently in the community goes a long way to protecting older persons against involuntary institutionalization.  However, the text </w:t>
      </w:r>
      <w:r w:rsidR="004D5ECC">
        <w:t>would still be deficient unless contrary provisions are removed from Article 34, in particular the provisions that contemplate administrative or judicial proceedings to determine an older person’s stay in a long term care facility</w:t>
      </w:r>
      <w:r w:rsidR="000E55AA">
        <w:t xml:space="preserve">.  Such provisions could be read as substituting the decision of a tribunal on a person’s stay in a </w:t>
      </w:r>
      <w:proofErr w:type="gramStart"/>
      <w:r w:rsidR="000E55AA">
        <w:t>long term</w:t>
      </w:r>
      <w:proofErr w:type="gramEnd"/>
      <w:r w:rsidR="000E55AA">
        <w:t xml:space="preserve"> care facility for the decision of the person concerned.  This would amount to </w:t>
      </w:r>
      <w:r w:rsidR="00E57D59">
        <w:t>involuntary committal, which is contrary to the individual’s rights under CRPD Article 14</w:t>
      </w:r>
      <w:r w:rsidR="000E55AA">
        <w:t xml:space="preserve"> as well as the right to personally exercise free and informed consent under CRPD Articles 12 and 25</w:t>
      </w:r>
      <w:r w:rsidR="00E57D59">
        <w:t>.</w:t>
      </w:r>
    </w:p>
    <w:p w:rsidR="004D5ECC" w:rsidRDefault="004D5ECC" w:rsidP="00302036"/>
    <w:p w:rsidR="00BD3B70" w:rsidRDefault="004D5ECC" w:rsidP="00302036">
      <w:r>
        <w:t>We have proposed the deletion of those provisions, and the incorporation of</w:t>
      </w:r>
      <w:r w:rsidR="00E57D59">
        <w:t xml:space="preserve"> text from CRPD Article 14.1(b), with an adaptation </w:t>
      </w:r>
      <w:r>
        <w:t xml:space="preserve">to prohibit deprivation of liberty based on age or on the existence of a disability.  CRPD Articles 14 and 19 work together to guarantee equal enjoyment of both the right to personal liberty and the right to liberty of movement including the freedom to choose one’s residence.  Older persons have the right to determine freely for themselves what type of living arrangement suits them.  </w:t>
      </w:r>
      <w:r w:rsidR="00BD3B70">
        <w:t xml:space="preserve">In violation of their rights under the CRPD, it has been a common practice for care providers and/or medical personnel to make an assessment that an older person does not quality for independent living and to assign the person to a so-called higher level of care that in actuality deprives the person of personal liberty and significantly restricts her or his autonomy; it may even take place in a locked unit.  </w:t>
      </w:r>
    </w:p>
    <w:p w:rsidR="00BD3B70" w:rsidRDefault="00BD3B70" w:rsidP="00302036"/>
    <w:p w:rsidR="005347B4" w:rsidRDefault="005347B4" w:rsidP="00302036">
      <w:r>
        <w:t>It is highly desirable to protect the liberty right of older persons and to provide access to justice i</w:t>
      </w:r>
      <w:r w:rsidR="00611672">
        <w:t>n order to secure their release;</w:t>
      </w:r>
      <w:r>
        <w:t xml:space="preserve"> however the provisions </w:t>
      </w:r>
      <w:r w:rsidR="00611672">
        <w:t>in Article 33</w:t>
      </w:r>
      <w:r>
        <w:t xml:space="preserve"> do not accomplish this purpose.  Mechanisms to secure release from internment in a long-term care facility must comply with the substantive standards of CRPD Articles 14 and 19, i.e. they must </w:t>
      </w:r>
      <w:r w:rsidR="00611672">
        <w:t xml:space="preserve">function only to ensure that individuals wishing to leave such a facility are permitted to do so, and must not have the discretion to authorize involuntary internment.  </w:t>
      </w:r>
    </w:p>
    <w:p w:rsidR="005347B4" w:rsidRDefault="005347B4" w:rsidP="00302036"/>
    <w:p w:rsidR="00BD3B70" w:rsidRDefault="00BD3B70" w:rsidP="00302036">
      <w:r>
        <w:t xml:space="preserve">CRPD Article 14.1(b) prohibits all deprivation of liberty based on the existence of a disability.  The Committee on the Rights of Persons with Disabilities interprets this provision to require </w:t>
      </w:r>
      <w:r w:rsidR="002B1637">
        <w:t>“the abolishment of civil commitment based on an actual or perceived impairment,”</w:t>
      </w:r>
      <w:r w:rsidR="00F500FA">
        <w:rPr>
          <w:rStyle w:val="FootnoteReference"/>
        </w:rPr>
        <w:footnoteReference w:id="0"/>
      </w:r>
      <w:r w:rsidR="002B1637">
        <w:t xml:space="preserve"> “the</w:t>
      </w:r>
      <w:r>
        <w:t xml:space="preserve"> repeal</w:t>
      </w:r>
      <w:r w:rsidR="002B1637">
        <w:t xml:space="preserve"> [of] all </w:t>
      </w:r>
      <w:r>
        <w:t xml:space="preserve">provisions </w:t>
      </w:r>
      <w:r w:rsidR="002B1637">
        <w:t>which authorize</w:t>
      </w:r>
      <w:r>
        <w:t xml:space="preserve"> </w:t>
      </w:r>
      <w:r w:rsidR="002B1637">
        <w:t xml:space="preserve">involuntary internment </w:t>
      </w:r>
      <w:r>
        <w:t>linked to an apparent or diagnosed disability,</w:t>
      </w:r>
      <w:r w:rsidR="002B1637">
        <w:t>”</w:t>
      </w:r>
      <w:r w:rsidR="00F500FA">
        <w:rPr>
          <w:rStyle w:val="FootnoteReference"/>
        </w:rPr>
        <w:footnoteReference w:id="1"/>
      </w:r>
      <w:r w:rsidR="002B1637">
        <w:t xml:space="preserve"> and the </w:t>
      </w:r>
      <w:r w:rsidR="00F500FA">
        <w:t>“</w:t>
      </w:r>
      <w:proofErr w:type="gramStart"/>
      <w:r w:rsidR="002B1637">
        <w:t>adopt</w:t>
      </w:r>
      <w:r w:rsidR="00F500FA">
        <w:t>[</w:t>
      </w:r>
      <w:proofErr w:type="gramEnd"/>
      <w:r w:rsidR="002B1637">
        <w:t>ion of</w:t>
      </w:r>
      <w:r w:rsidR="00F500FA">
        <w:t>]</w:t>
      </w:r>
      <w:r w:rsidR="002B1637">
        <w:t xml:space="preserve"> measures</w:t>
      </w:r>
      <w:r>
        <w:t xml:space="preserve"> to ensure that </w:t>
      </w:r>
      <w:r w:rsidR="00F500FA">
        <w:t xml:space="preserve">health care services, including all </w:t>
      </w:r>
      <w:r>
        <w:t>mental health</w:t>
      </w:r>
      <w:r w:rsidR="00F500FA">
        <w:t xml:space="preserve"> care</w:t>
      </w:r>
      <w:r>
        <w:t xml:space="preserve"> services</w:t>
      </w:r>
      <w:r w:rsidR="00F500FA">
        <w:t>,</w:t>
      </w:r>
      <w:r>
        <w:t xml:space="preserve"> are based on the free and informed consent of the person concerned.</w:t>
      </w:r>
      <w:r w:rsidR="00F500FA">
        <w:t>”</w:t>
      </w:r>
      <w:r w:rsidR="00F500FA">
        <w:rPr>
          <w:rStyle w:val="FootnoteReference"/>
        </w:rPr>
        <w:footnoteReference w:id="2"/>
      </w:r>
      <w:r>
        <w:t xml:space="preserve">  </w:t>
      </w:r>
    </w:p>
    <w:p w:rsidR="002F4C22" w:rsidRDefault="002F4C22" w:rsidP="00302036"/>
    <w:p w:rsidR="00AD5E6A" w:rsidRPr="002F4C22" w:rsidRDefault="00AD5E6A" w:rsidP="00302036">
      <w:r>
        <w:t>The right to choose one’s residence on an equal basis with others is closely linked to exercise of legal capacity as well as to liberty.  The Committee on the Rights of Persons with Disabilities holds that the right to legal capacity includes “</w:t>
      </w:r>
      <w:r w:rsidRPr="002F4C22">
        <w:t>the individual's right, on their own, to give and withdraw informed consent for medical treatment, to access justice, to vote, to marry, to work, and to choose their place of residence.</w:t>
      </w:r>
      <w:r>
        <w:t>”</w:t>
      </w:r>
      <w:r>
        <w:rPr>
          <w:rStyle w:val="FootnoteReference"/>
        </w:rPr>
        <w:footnoteReference w:id="3"/>
      </w:r>
      <w:r>
        <w:t xml:space="preserve">  Thus any provision authorizing a determination of a person’s place of residence to be made by judicial or administrative authorities, or by care providers on the basis of any assessment of a person’s abilities, violates the right to exercise legal capacity as well as the right to personal liberty and the freedom to choose one’s residence.   </w:t>
      </w:r>
    </w:p>
    <w:p w:rsidR="00F500FA" w:rsidRDefault="00F500FA" w:rsidP="00302036"/>
    <w:p w:rsidR="005178E5" w:rsidRDefault="00F500FA" w:rsidP="00302036">
      <w:pPr>
        <w:rPr>
          <w:rFonts w:eastAsia="Calibri"/>
        </w:rPr>
      </w:pPr>
      <w:r>
        <w:t>The provisions of CRPD Articles 12 and 19 incorporate positive obligations to provide support</w:t>
      </w:r>
      <w:r w:rsidR="00043AFA">
        <w:t xml:space="preserve"> that may be necessary to facilitate the exercise of legal capacity and the person’s right to live </w:t>
      </w:r>
      <w:r w:rsidR="00E6159C">
        <w:t>independently in the community</w:t>
      </w:r>
      <w:r w:rsidR="00C60C64">
        <w:t xml:space="preserve">, including “to </w:t>
      </w:r>
      <w:r w:rsidR="004C5DAB">
        <w:t>persons with high support needs.”</w:t>
      </w:r>
      <w:r w:rsidR="00C60C64">
        <w:rPr>
          <w:rStyle w:val="FootnoteReference"/>
        </w:rPr>
        <w:footnoteReference w:id="4"/>
      </w:r>
      <w:r w:rsidR="004C5DAB">
        <w:t xml:space="preserve">  Under Article 14 as well, the</w:t>
      </w:r>
      <w:r w:rsidR="00BD12FE">
        <w:t xml:space="preserve"> Committee on the Rights of Persons with Disabilities </w:t>
      </w:r>
      <w:r w:rsidR="004C5DAB">
        <w:t>finds a positive obligation to</w:t>
      </w:r>
      <w:r w:rsidRPr="00F500FA">
        <w:t xml:space="preserve"> “</w:t>
      </w:r>
      <w:r w:rsidRPr="00F500FA">
        <w:rPr>
          <w:rFonts w:eastAsia="Calibri"/>
        </w:rPr>
        <w:t>allocate more financial resources to persons with intellectual and psychosocial disabilities who require a high level of suppo</w:t>
      </w:r>
      <w:r w:rsidR="001C41CC">
        <w:rPr>
          <w:rFonts w:eastAsia="Calibri"/>
        </w:rPr>
        <w:t>rt.</w:t>
      </w:r>
      <w:r w:rsidR="00C60C64">
        <w:rPr>
          <w:rFonts w:eastAsia="Calibri"/>
        </w:rPr>
        <w:t>”</w:t>
      </w:r>
      <w:r w:rsidR="00043AFA">
        <w:rPr>
          <w:rStyle w:val="FootnoteReference"/>
          <w:rFonts w:eastAsia="Calibri"/>
        </w:rPr>
        <w:footnoteReference w:id="5"/>
      </w:r>
      <w:r w:rsidR="001C41CC">
        <w:rPr>
          <w:rFonts w:eastAsia="Calibri"/>
        </w:rPr>
        <w:t xml:space="preserve"> There must be a wide range of such supports that “respond to needs expressed by </w:t>
      </w:r>
      <w:r w:rsidR="00923A7A">
        <w:rPr>
          <w:rFonts w:eastAsia="Calibri"/>
        </w:rPr>
        <w:t>persons with disabilities</w:t>
      </w:r>
      <w:r w:rsidR="001C41CC">
        <w:rPr>
          <w:rFonts w:eastAsia="Calibri"/>
        </w:rPr>
        <w:t xml:space="preserve"> and respect their autonomy, choices, dignity and privacy.”</w:t>
      </w:r>
      <w:r w:rsidR="001C41CC">
        <w:rPr>
          <w:rStyle w:val="FootnoteReference"/>
          <w:rFonts w:eastAsia="Calibri"/>
        </w:rPr>
        <w:footnoteReference w:id="6"/>
      </w:r>
      <w:r w:rsidR="001C41CC">
        <w:rPr>
          <w:rFonts w:eastAsia="Calibri"/>
        </w:rPr>
        <w:t xml:space="preserve"> </w:t>
      </w:r>
      <w:r w:rsidR="00043AFA">
        <w:rPr>
          <w:rFonts w:eastAsia="Calibri"/>
        </w:rPr>
        <w:t xml:space="preserve"> </w:t>
      </w:r>
      <w:r w:rsidR="004C5DAB">
        <w:rPr>
          <w:rFonts w:eastAsia="Calibri"/>
        </w:rPr>
        <w:t xml:space="preserve">These measures of support are meant to replace substituted decision-making, and to replace systems of institutional care.  There is no possibility under the CRPD for involuntary institutionalization to be imposed as a “last resort” or to determine that a particular person is “unable” to live and receive desired support services in the living situation of his or her choice.  </w:t>
      </w:r>
    </w:p>
    <w:p w:rsidR="005178E5" w:rsidRDefault="005178E5" w:rsidP="00302036">
      <w:pPr>
        <w:rPr>
          <w:rFonts w:eastAsia="Calibri"/>
        </w:rPr>
      </w:pPr>
    </w:p>
    <w:p w:rsidR="005178E5" w:rsidRDefault="001C41CC" w:rsidP="00302036">
      <w:pPr>
        <w:rPr>
          <w:rFonts w:eastAsia="Calibri"/>
        </w:rPr>
      </w:pPr>
      <w:r>
        <w:rPr>
          <w:rFonts w:eastAsia="Calibri"/>
        </w:rPr>
        <w:t>We recommend that the Working Group:</w:t>
      </w:r>
    </w:p>
    <w:p w:rsidR="005178E5" w:rsidRDefault="005178E5" w:rsidP="00302036">
      <w:pPr>
        <w:rPr>
          <w:rFonts w:eastAsia="Calibri"/>
        </w:rPr>
      </w:pPr>
    </w:p>
    <w:p w:rsidR="005178E5" w:rsidRDefault="007D2C62" w:rsidP="00302036">
      <w:pPr>
        <w:ind w:firstLine="720"/>
        <w:rPr>
          <w:rFonts w:eastAsia="Calibri"/>
        </w:rPr>
      </w:pPr>
      <w:r>
        <w:rPr>
          <w:rFonts w:eastAsia="Calibri"/>
        </w:rPr>
        <w:t xml:space="preserve">1. Delete </w:t>
      </w:r>
      <w:r w:rsidR="005178E5">
        <w:rPr>
          <w:rFonts w:eastAsia="Calibri"/>
        </w:rPr>
        <w:t>the following provisions</w:t>
      </w:r>
      <w:r w:rsidR="001C41CC">
        <w:rPr>
          <w:rFonts w:eastAsia="Calibri"/>
        </w:rPr>
        <w:t xml:space="preserve"> from draft Article 33:</w:t>
      </w:r>
    </w:p>
    <w:p w:rsidR="007D2C62" w:rsidRPr="007D2C62" w:rsidRDefault="004C5DAB" w:rsidP="00302036">
      <w:pPr>
        <w:rPr>
          <w:rFonts w:eastAsia="Calibri"/>
        </w:rPr>
      </w:pPr>
      <w:r>
        <w:rPr>
          <w:rFonts w:eastAsia="Calibri"/>
        </w:rPr>
        <w:t xml:space="preserve"> </w:t>
      </w:r>
    </w:p>
    <w:p w:rsidR="007D2C62" w:rsidRPr="007D2C62" w:rsidRDefault="007D2C62" w:rsidP="00302036">
      <w:pPr>
        <w:rPr>
          <w:sz w:val="22"/>
          <w:szCs w:val="22"/>
          <w:highlight w:val="yellow"/>
        </w:rPr>
      </w:pPr>
      <w:r w:rsidRPr="005F0C50">
        <w:rPr>
          <w:sz w:val="22"/>
          <w:szCs w:val="22"/>
          <w:highlight w:val="red"/>
        </w:rPr>
        <w:t xml:space="preserve">DELETE: </w:t>
      </w:r>
      <w:r w:rsidRPr="007D2C62">
        <w:rPr>
          <w:sz w:val="22"/>
          <w:szCs w:val="22"/>
          <w:highlight w:val="yellow"/>
        </w:rPr>
        <w:t xml:space="preserve">[New paragraph CHAIR: With respect to long-term care services, and recognizing the </w:t>
      </w:r>
      <w:proofErr w:type="spellStart"/>
      <w:r w:rsidRPr="007D2C62">
        <w:rPr>
          <w:sz w:val="22"/>
          <w:szCs w:val="22"/>
          <w:highlight w:val="yellow"/>
        </w:rPr>
        <w:t>unwaivable</w:t>
      </w:r>
      <w:proofErr w:type="spellEnd"/>
      <w:r w:rsidRPr="007D2C62">
        <w:rPr>
          <w:sz w:val="22"/>
          <w:szCs w:val="22"/>
          <w:highlight w:val="yellow"/>
        </w:rPr>
        <w:t xml:space="preserve"> right of older persons to give their prior and informed consent, it shall be established that]:</w:t>
      </w:r>
    </w:p>
    <w:p w:rsidR="007D2C62" w:rsidRPr="007D2C62" w:rsidRDefault="007D2C62" w:rsidP="00302036">
      <w:pPr>
        <w:rPr>
          <w:sz w:val="22"/>
          <w:szCs w:val="22"/>
          <w:highlight w:val="yellow"/>
        </w:rPr>
      </w:pPr>
    </w:p>
    <w:p w:rsidR="007D2C62" w:rsidRPr="007D2C62" w:rsidRDefault="007D2C62" w:rsidP="00302036">
      <w:pPr>
        <w:rPr>
          <w:sz w:val="22"/>
          <w:szCs w:val="22"/>
          <w:highlight w:val="yellow"/>
        </w:rPr>
      </w:pPr>
      <w:r w:rsidRPr="007D2C62">
        <w:rPr>
          <w:sz w:val="22"/>
          <w:szCs w:val="22"/>
          <w:highlight w:val="yellow"/>
        </w:rPr>
        <w:t xml:space="preserve">An older person and his or her legal representative or counsel, shall have the right to participate in and be heard at every phase of the judicial and administrative proceedings regarding his or her admission, stay in, or departure from a long-term care service facility </w:t>
      </w:r>
      <w:r w:rsidRPr="007D2C62">
        <w:rPr>
          <w:color w:val="FF0000"/>
          <w:sz w:val="22"/>
          <w:szCs w:val="22"/>
          <w:highlight w:val="yellow"/>
        </w:rPr>
        <w:t>[SEE TRANSLATOR’S NOTE ABOVE</w:t>
      </w:r>
      <w:r w:rsidRPr="007D2C62">
        <w:rPr>
          <w:sz w:val="22"/>
          <w:szCs w:val="22"/>
          <w:highlight w:val="yellow"/>
        </w:rPr>
        <w:t xml:space="preserve">] </w:t>
      </w:r>
      <w:r w:rsidRPr="007D2C62">
        <w:rPr>
          <w:b/>
          <w:sz w:val="22"/>
          <w:szCs w:val="22"/>
          <w:highlight w:val="yellow"/>
        </w:rPr>
        <w:t>(Agreed upon on April 16, 2013</w:t>
      </w:r>
      <w:r w:rsidRPr="007D2C62">
        <w:rPr>
          <w:sz w:val="22"/>
          <w:szCs w:val="22"/>
          <w:highlight w:val="yellow"/>
        </w:rPr>
        <w:t>)</w:t>
      </w:r>
    </w:p>
    <w:p w:rsidR="007D2C62" w:rsidRPr="007D2C62" w:rsidRDefault="007D2C62" w:rsidP="00302036">
      <w:pPr>
        <w:rPr>
          <w:sz w:val="22"/>
          <w:szCs w:val="22"/>
          <w:highlight w:val="yellow"/>
        </w:rPr>
      </w:pPr>
    </w:p>
    <w:p w:rsidR="007D2C62" w:rsidRPr="007D2C62" w:rsidRDefault="007D2C62" w:rsidP="00302036">
      <w:pPr>
        <w:rPr>
          <w:sz w:val="22"/>
          <w:szCs w:val="22"/>
          <w:highlight w:val="yellow"/>
        </w:rPr>
      </w:pPr>
      <w:r w:rsidRPr="007D2C62">
        <w:rPr>
          <w:sz w:val="22"/>
          <w:szCs w:val="22"/>
          <w:highlight w:val="yellow"/>
        </w:rPr>
        <w:t xml:space="preserve">An older person and his or her legal representative or counsel, may, in any proceeding, [request and/or] present an independent opinion on their physical and mental health, along with any other pertinent reports and oral, written, or other evidence with respect to the process of admission, stay in, or departure from a long-term care service facility </w:t>
      </w:r>
      <w:r w:rsidRPr="007D2C62">
        <w:rPr>
          <w:color w:val="FF0000"/>
          <w:sz w:val="22"/>
          <w:szCs w:val="22"/>
          <w:highlight w:val="yellow"/>
        </w:rPr>
        <w:t>[SEE TRANSLATOR’S NOTE ABOVE</w:t>
      </w:r>
      <w:r w:rsidRPr="007D2C62">
        <w:rPr>
          <w:sz w:val="22"/>
          <w:szCs w:val="22"/>
          <w:highlight w:val="yellow"/>
        </w:rPr>
        <w:t>] (</w:t>
      </w:r>
      <w:r w:rsidRPr="007D2C62">
        <w:rPr>
          <w:b/>
          <w:sz w:val="22"/>
          <w:szCs w:val="22"/>
          <w:highlight w:val="yellow"/>
        </w:rPr>
        <w:t xml:space="preserve">Agreed upon on April 19, 2013; </w:t>
      </w:r>
      <w:r w:rsidRPr="007D2C62">
        <w:rPr>
          <w:b/>
          <w:sz w:val="22"/>
          <w:szCs w:val="22"/>
          <w:highlight w:val="yellow"/>
          <w:shd w:val="clear" w:color="auto" w:fill="C0C0C0"/>
        </w:rPr>
        <w:t>the phrase in square brackets is in consultation; BOL: the whole paragraph in consultation</w:t>
      </w:r>
      <w:r w:rsidRPr="007D2C62">
        <w:rPr>
          <w:b/>
          <w:sz w:val="22"/>
          <w:szCs w:val="22"/>
          <w:highlight w:val="yellow"/>
        </w:rPr>
        <w:t>)</w:t>
      </w:r>
    </w:p>
    <w:p w:rsidR="001C41CC" w:rsidRDefault="001C41CC" w:rsidP="00302036">
      <w:pPr>
        <w:rPr>
          <w:rFonts w:eastAsia="Calibri"/>
        </w:rPr>
      </w:pPr>
    </w:p>
    <w:p w:rsidR="001C41CC" w:rsidRDefault="001C41CC" w:rsidP="00302036">
      <w:pPr>
        <w:ind w:firstLine="720"/>
        <w:rPr>
          <w:rFonts w:eastAsia="Calibri"/>
        </w:rPr>
      </w:pPr>
      <w:r>
        <w:rPr>
          <w:rFonts w:eastAsia="Calibri"/>
        </w:rPr>
        <w:t>2. Insert the following language into Article 33 as a relevant guarantee that complies with CRPD standards:</w:t>
      </w:r>
    </w:p>
    <w:p w:rsidR="001C41CC" w:rsidRDefault="001C41CC" w:rsidP="00302036">
      <w:pPr>
        <w:rPr>
          <w:rFonts w:eastAsia="Calibri"/>
        </w:rPr>
      </w:pPr>
    </w:p>
    <w:p w:rsidR="001C41CC" w:rsidRPr="001C41CC" w:rsidRDefault="001C41CC" w:rsidP="00302036">
      <w:pPr>
        <w:rPr>
          <w:sz w:val="22"/>
          <w:szCs w:val="22"/>
          <w:highlight w:val="green"/>
        </w:rPr>
      </w:pPr>
      <w:r w:rsidRPr="001C41CC">
        <w:rPr>
          <w:sz w:val="22"/>
          <w:szCs w:val="22"/>
          <w:highlight w:val="green"/>
        </w:rPr>
        <w:t>INSERT:</w:t>
      </w:r>
    </w:p>
    <w:p w:rsidR="001C41CC" w:rsidRDefault="001C41CC" w:rsidP="00302036">
      <w:pPr>
        <w:rPr>
          <w:sz w:val="22"/>
          <w:szCs w:val="22"/>
          <w:highlight w:val="yellow"/>
        </w:rPr>
      </w:pPr>
      <w:r>
        <w:rPr>
          <w:sz w:val="22"/>
          <w:szCs w:val="22"/>
          <w:highlight w:val="yellow"/>
        </w:rPr>
        <w:t xml:space="preserve">Older persons shall have access to effective remedies to secure their release from internment in </w:t>
      </w:r>
      <w:r w:rsidR="007706D8">
        <w:rPr>
          <w:sz w:val="22"/>
          <w:szCs w:val="22"/>
          <w:highlight w:val="yellow"/>
        </w:rPr>
        <w:t>any long-</w:t>
      </w:r>
      <w:r>
        <w:rPr>
          <w:sz w:val="22"/>
          <w:szCs w:val="22"/>
          <w:highlight w:val="yellow"/>
        </w:rPr>
        <w:t>term care service facility</w:t>
      </w:r>
      <w:r w:rsidR="007706D8">
        <w:rPr>
          <w:sz w:val="22"/>
          <w:szCs w:val="22"/>
          <w:highlight w:val="yellow"/>
        </w:rPr>
        <w:t>.  If judicial or administrative tribunals are made available for this purpose, such tribunals shall be directed to order the facility to release any individual who requests to leave, and to make it known to all individuals in long-term care service facilities that they have a right to be released if they wish to leave</w:t>
      </w:r>
      <w:r>
        <w:rPr>
          <w:sz w:val="22"/>
          <w:szCs w:val="22"/>
          <w:highlight w:val="yellow"/>
        </w:rPr>
        <w:t xml:space="preserve">.  In no case shall internment be justified based on an assessment by medical personnel or care providers that an individual needs a particular level of care; all provision of care and services must be based on the free and informed consent of the person concerned. </w:t>
      </w:r>
    </w:p>
    <w:p w:rsidR="007D2C62" w:rsidRDefault="007D2C62" w:rsidP="00302036">
      <w:pPr>
        <w:rPr>
          <w:rFonts w:eastAsia="Calibri"/>
        </w:rPr>
      </w:pPr>
    </w:p>
    <w:p w:rsidR="007D2C62" w:rsidRDefault="001C41CC" w:rsidP="00302036">
      <w:pPr>
        <w:ind w:firstLine="720"/>
        <w:rPr>
          <w:rFonts w:eastAsia="Calibri"/>
        </w:rPr>
      </w:pPr>
      <w:r>
        <w:rPr>
          <w:rFonts w:eastAsia="Calibri"/>
        </w:rPr>
        <w:t>3</w:t>
      </w:r>
      <w:r w:rsidR="007D2C62">
        <w:rPr>
          <w:rFonts w:eastAsia="Calibri"/>
        </w:rPr>
        <w:t>. Insert language based on CRPD Article 14.1(b) into draft Article 11, to read:</w:t>
      </w:r>
    </w:p>
    <w:p w:rsidR="007D2C62" w:rsidRDefault="007D2C62" w:rsidP="00302036">
      <w:pPr>
        <w:rPr>
          <w:rFonts w:eastAsia="Calibri"/>
        </w:rPr>
      </w:pPr>
    </w:p>
    <w:p w:rsidR="007D2C62" w:rsidRDefault="007D2C62" w:rsidP="00302036">
      <w:pPr>
        <w:rPr>
          <w:rFonts w:eastAsia="Calibri"/>
        </w:rPr>
      </w:pPr>
      <w:r>
        <w:rPr>
          <w:rFonts w:ascii="Times New Roman" w:eastAsia="Times New Roman" w:hAnsi="Times New Roman" w:cs="Times New Roman"/>
          <w:sz w:val="22"/>
          <w:szCs w:val="22"/>
        </w:rPr>
        <w:t xml:space="preserve">(b) </w:t>
      </w:r>
      <w:r w:rsidRPr="00AC6105">
        <w:rPr>
          <w:sz w:val="22"/>
          <w:szCs w:val="22"/>
        </w:rPr>
        <w:t xml:space="preserve">Are not illegally or arbitrarily deprived of their </w:t>
      </w:r>
      <w:proofErr w:type="gramStart"/>
      <w:r w:rsidRPr="00AC6105">
        <w:rPr>
          <w:sz w:val="22"/>
          <w:szCs w:val="22"/>
        </w:rPr>
        <w:t>freedom  and</w:t>
      </w:r>
      <w:proofErr w:type="gramEnd"/>
      <w:r w:rsidRPr="00AC6105">
        <w:rPr>
          <w:sz w:val="22"/>
          <w:szCs w:val="22"/>
        </w:rPr>
        <w:t xml:space="preserve"> that any deprivation or restriction of freedom is in accordance with the law</w:t>
      </w:r>
      <w:r>
        <w:rPr>
          <w:sz w:val="22"/>
          <w:szCs w:val="22"/>
        </w:rPr>
        <w:t xml:space="preserve">, </w:t>
      </w:r>
      <w:r w:rsidRPr="001C41CC">
        <w:rPr>
          <w:sz w:val="22"/>
          <w:szCs w:val="22"/>
          <w:highlight w:val="green"/>
        </w:rPr>
        <w:t xml:space="preserve">INSERT: </w:t>
      </w:r>
      <w:r w:rsidRPr="00025B16">
        <w:rPr>
          <w:sz w:val="22"/>
          <w:szCs w:val="22"/>
          <w:highlight w:val="yellow"/>
        </w:rPr>
        <w:t>and that in no case shall either age or the existence of a disability justify a deprivation of liberty.</w:t>
      </w:r>
    </w:p>
    <w:p w:rsidR="007D2C62" w:rsidRDefault="007D2C62" w:rsidP="00302036">
      <w:pPr>
        <w:rPr>
          <w:rFonts w:eastAsia="Calibri"/>
        </w:rPr>
      </w:pPr>
    </w:p>
    <w:p w:rsidR="007D2C62" w:rsidRPr="007D2C62" w:rsidRDefault="001C41CC" w:rsidP="00302036">
      <w:pPr>
        <w:ind w:firstLine="720"/>
        <w:rPr>
          <w:rFonts w:eastAsia="Calibri"/>
        </w:rPr>
      </w:pPr>
      <w:r>
        <w:rPr>
          <w:rFonts w:eastAsia="Calibri"/>
        </w:rPr>
        <w:t>4</w:t>
      </w:r>
      <w:r w:rsidR="007D2C62">
        <w:rPr>
          <w:rFonts w:eastAsia="Calibri"/>
        </w:rPr>
        <w:t>. Incorporate in a suitable article or as a stand-alone article the following provisions based on CRPD Article 19:</w:t>
      </w:r>
    </w:p>
    <w:p w:rsidR="007D2C62" w:rsidRPr="00025B16" w:rsidRDefault="007D2C62" w:rsidP="00302036">
      <w:pPr>
        <w:rPr>
          <w:b/>
          <w:sz w:val="22"/>
          <w:szCs w:val="22"/>
          <w:highlight w:val="yellow"/>
        </w:rPr>
      </w:pPr>
    </w:p>
    <w:p w:rsidR="007D2C62" w:rsidRPr="001C41CC" w:rsidRDefault="007D2C62" w:rsidP="00302036">
      <w:pPr>
        <w:rPr>
          <w:b/>
          <w:sz w:val="22"/>
          <w:szCs w:val="22"/>
          <w:highlight w:val="green"/>
        </w:rPr>
      </w:pPr>
      <w:r w:rsidRPr="001C41CC">
        <w:rPr>
          <w:b/>
          <w:sz w:val="22"/>
          <w:szCs w:val="22"/>
          <w:highlight w:val="green"/>
        </w:rPr>
        <w:t>INSERT:</w:t>
      </w:r>
    </w:p>
    <w:p w:rsidR="007D2C62" w:rsidRPr="00025B16" w:rsidRDefault="007D2C62" w:rsidP="00302036">
      <w:pPr>
        <w:rPr>
          <w:b/>
          <w:sz w:val="22"/>
          <w:szCs w:val="22"/>
          <w:highlight w:val="yellow"/>
        </w:rPr>
      </w:pPr>
      <w:r>
        <w:rPr>
          <w:b/>
          <w:sz w:val="22"/>
          <w:szCs w:val="22"/>
          <w:highlight w:val="yellow"/>
        </w:rPr>
        <w:t>Living independently and being included in the community</w:t>
      </w:r>
    </w:p>
    <w:p w:rsidR="007D2C62" w:rsidRPr="000D2B6A" w:rsidRDefault="007D2C62" w:rsidP="00302036">
      <w:pPr>
        <w:rPr>
          <w:b/>
          <w:sz w:val="22"/>
          <w:szCs w:val="22"/>
          <w:highlight w:val="yellow"/>
        </w:rPr>
      </w:pPr>
    </w:p>
    <w:p w:rsidR="007D2C62" w:rsidRPr="000D2B6A" w:rsidRDefault="007D2C62" w:rsidP="00302036">
      <w:pPr>
        <w:rPr>
          <w:highlight w:val="yellow"/>
          <w:lang w:val="en-GB"/>
        </w:rPr>
      </w:pPr>
      <w:r w:rsidRPr="000D2B6A">
        <w:rPr>
          <w:highlight w:val="yellow"/>
          <w:lang w:val="en-GB"/>
        </w:rPr>
        <w:tab/>
        <w:t>States Parties to the present Convention recognize the equal right of all older persons to live in the community, with choices equal to others, and shall take effective and appropriate measures to facilitate full enjoyment by older persons of this right and their full inclusion and participation in the community, including by ensuring that:</w:t>
      </w:r>
    </w:p>
    <w:p w:rsidR="007D2C62" w:rsidRPr="000D2B6A" w:rsidRDefault="007D2C62" w:rsidP="00302036">
      <w:pPr>
        <w:rPr>
          <w:highlight w:val="yellow"/>
          <w:lang w:val="en-GB"/>
        </w:rPr>
      </w:pPr>
      <w:r w:rsidRPr="000D2B6A">
        <w:rPr>
          <w:highlight w:val="yellow"/>
          <w:lang w:val="en-GB"/>
        </w:rPr>
        <w:tab/>
        <w:t>(</w:t>
      </w:r>
      <w:r w:rsidRPr="000D2B6A">
        <w:rPr>
          <w:i/>
          <w:iCs/>
          <w:highlight w:val="yellow"/>
          <w:lang w:val="en-GB"/>
        </w:rPr>
        <w:t>a</w:t>
      </w:r>
      <w:r w:rsidRPr="000D2B6A">
        <w:rPr>
          <w:highlight w:val="yellow"/>
          <w:lang w:val="en-GB"/>
        </w:rPr>
        <w:t>)</w:t>
      </w:r>
      <w:r w:rsidRPr="000D2B6A">
        <w:rPr>
          <w:highlight w:val="yellow"/>
          <w:lang w:val="en-GB"/>
        </w:rPr>
        <w:tab/>
        <w:t>Older persons have the opportunity to choose their place of residence and where and with whom they live on an equal basis with others and are not obliged to live in a particular living arrangement</w:t>
      </w:r>
      <w:proofErr w:type="gramStart"/>
      <w:r w:rsidRPr="000D2B6A">
        <w:rPr>
          <w:highlight w:val="yellow"/>
          <w:lang w:val="en-GB"/>
        </w:rPr>
        <w:t>;</w:t>
      </w:r>
      <w:proofErr w:type="gramEnd"/>
    </w:p>
    <w:p w:rsidR="007D2C62" w:rsidRPr="000D2B6A" w:rsidRDefault="007D2C62" w:rsidP="00302036">
      <w:pPr>
        <w:rPr>
          <w:highlight w:val="yellow"/>
          <w:lang w:val="en-GB"/>
        </w:rPr>
      </w:pPr>
      <w:r w:rsidRPr="000D2B6A">
        <w:rPr>
          <w:highlight w:val="yellow"/>
          <w:lang w:val="en-GB"/>
        </w:rPr>
        <w:tab/>
        <w:t>(</w:t>
      </w:r>
      <w:r w:rsidRPr="000D2B6A">
        <w:rPr>
          <w:i/>
          <w:iCs/>
          <w:highlight w:val="yellow"/>
          <w:lang w:val="en-GB"/>
        </w:rPr>
        <w:t>b</w:t>
      </w:r>
      <w:r w:rsidRPr="000D2B6A">
        <w:rPr>
          <w:highlight w:val="yellow"/>
          <w:lang w:val="en-GB"/>
        </w:rPr>
        <w:t>)</w:t>
      </w:r>
      <w:r w:rsidRPr="000D2B6A">
        <w:rPr>
          <w:highlight w:val="yellow"/>
          <w:lang w:val="en-GB"/>
        </w:rPr>
        <w:tab/>
        <w:t>Older persons have access to a range of in-home, residential and other community support services, including personal assistance necessary to support living and inclusion in the community, and to prevent isolation or segregation from the community</w:t>
      </w:r>
      <w:proofErr w:type="gramStart"/>
      <w:r w:rsidRPr="000D2B6A">
        <w:rPr>
          <w:highlight w:val="yellow"/>
          <w:lang w:val="en-GB"/>
        </w:rPr>
        <w:t>;</w:t>
      </w:r>
      <w:proofErr w:type="gramEnd"/>
    </w:p>
    <w:p w:rsidR="007D2C62" w:rsidRPr="00D101EF" w:rsidRDefault="007D2C62" w:rsidP="00302036">
      <w:pPr>
        <w:rPr>
          <w:lang w:val="en-GB"/>
        </w:rPr>
      </w:pPr>
      <w:r w:rsidRPr="000D2B6A">
        <w:rPr>
          <w:highlight w:val="yellow"/>
          <w:lang w:val="en-GB"/>
        </w:rPr>
        <w:tab/>
        <w:t>(</w:t>
      </w:r>
      <w:r w:rsidRPr="000D2B6A">
        <w:rPr>
          <w:i/>
          <w:iCs/>
          <w:highlight w:val="yellow"/>
          <w:lang w:val="en-GB"/>
        </w:rPr>
        <w:t>c</w:t>
      </w:r>
      <w:r w:rsidRPr="000D2B6A">
        <w:rPr>
          <w:highlight w:val="yellow"/>
          <w:lang w:val="en-GB"/>
        </w:rPr>
        <w:t>)</w:t>
      </w:r>
      <w:r w:rsidRPr="000D2B6A">
        <w:rPr>
          <w:highlight w:val="yellow"/>
          <w:lang w:val="en-GB"/>
        </w:rPr>
        <w:tab/>
        <w:t>Community services and facilities for the general population are available on an equal basis to older persons and are responsive to their needs.</w:t>
      </w:r>
    </w:p>
    <w:p w:rsidR="007D2C62" w:rsidRDefault="007D2C62" w:rsidP="00302036">
      <w:pPr>
        <w:rPr>
          <w:rFonts w:eastAsia="Calibri"/>
        </w:rPr>
      </w:pPr>
    </w:p>
    <w:p w:rsidR="007D2C62" w:rsidRDefault="001C41CC" w:rsidP="00302036">
      <w:pPr>
        <w:ind w:firstLine="720"/>
        <w:rPr>
          <w:rFonts w:eastAsia="Calibri"/>
        </w:rPr>
      </w:pPr>
      <w:r>
        <w:rPr>
          <w:rFonts w:eastAsia="Calibri"/>
        </w:rPr>
        <w:t>5</w:t>
      </w:r>
      <w:r w:rsidR="007D2C62">
        <w:rPr>
          <w:rFonts w:eastAsia="Calibri"/>
        </w:rPr>
        <w:t>. Delete the draft Article on the rights of older persons receiving long-term care</w:t>
      </w:r>
      <w:r>
        <w:rPr>
          <w:rFonts w:eastAsia="Calibri"/>
        </w:rPr>
        <w:t xml:space="preserve">.  In addition, delete the definition of “long </w:t>
      </w:r>
      <w:proofErr w:type="gramStart"/>
      <w:r>
        <w:rPr>
          <w:rFonts w:eastAsia="Calibri"/>
        </w:rPr>
        <w:t>stay facility</w:t>
      </w:r>
      <w:proofErr w:type="gramEnd"/>
      <w:r>
        <w:rPr>
          <w:rFonts w:eastAsia="Calibri"/>
        </w:rPr>
        <w:t>” in Article 2,</w:t>
      </w:r>
      <w:r w:rsidR="007D2C62">
        <w:rPr>
          <w:rFonts w:eastAsia="Calibri"/>
        </w:rPr>
        <w:t xml:space="preserve"> </w:t>
      </w:r>
      <w:r>
        <w:rPr>
          <w:rFonts w:eastAsia="Calibri"/>
        </w:rPr>
        <w:t xml:space="preserve">and the reference to such facilities in Article 17, </w:t>
      </w:r>
      <w:r w:rsidR="007D2C62">
        <w:rPr>
          <w:rFonts w:eastAsia="Calibri"/>
        </w:rPr>
        <w:t xml:space="preserve">as </w:t>
      </w:r>
      <w:r>
        <w:rPr>
          <w:rFonts w:eastAsia="Calibri"/>
        </w:rPr>
        <w:t>these provisions contemplate</w:t>
      </w:r>
      <w:r w:rsidR="007D2C62">
        <w:rPr>
          <w:rFonts w:eastAsia="Calibri"/>
        </w:rPr>
        <w:t xml:space="preserve"> the perpetuation of institutional systems of care contrary to the requirements of the CRPD.</w:t>
      </w:r>
    </w:p>
    <w:p w:rsidR="001C41CC" w:rsidRDefault="001C41CC" w:rsidP="00302036">
      <w:pPr>
        <w:rPr>
          <w:b/>
          <w:sz w:val="22"/>
          <w:szCs w:val="22"/>
          <w:highlight w:val="red"/>
        </w:rPr>
      </w:pPr>
    </w:p>
    <w:p w:rsidR="007D2C62" w:rsidRPr="000D0DD8" w:rsidRDefault="007D2C62" w:rsidP="00302036">
      <w:pPr>
        <w:rPr>
          <w:b/>
          <w:sz w:val="22"/>
          <w:szCs w:val="22"/>
          <w:highlight w:val="yellow"/>
        </w:rPr>
      </w:pPr>
      <w:r w:rsidRPr="000D0DD8">
        <w:rPr>
          <w:b/>
          <w:sz w:val="22"/>
          <w:szCs w:val="22"/>
          <w:highlight w:val="red"/>
        </w:rPr>
        <w:t xml:space="preserve">DELETE: </w:t>
      </w:r>
      <w:r w:rsidRPr="000D0DD8">
        <w:rPr>
          <w:b/>
          <w:sz w:val="22"/>
          <w:szCs w:val="22"/>
          <w:highlight w:val="yellow"/>
        </w:rPr>
        <w:t>New Article</w:t>
      </w:r>
    </w:p>
    <w:p w:rsidR="007D2C62" w:rsidRPr="000D0DD8" w:rsidRDefault="007D2C62" w:rsidP="00302036">
      <w:pPr>
        <w:rPr>
          <w:b/>
          <w:sz w:val="22"/>
          <w:szCs w:val="22"/>
          <w:highlight w:val="yellow"/>
        </w:rPr>
      </w:pPr>
    </w:p>
    <w:p w:rsidR="007D2C62" w:rsidRPr="000D0DD8" w:rsidRDefault="007D2C62" w:rsidP="00302036">
      <w:pPr>
        <w:rPr>
          <w:b/>
          <w:sz w:val="22"/>
          <w:szCs w:val="22"/>
          <w:highlight w:val="yellow"/>
        </w:rPr>
      </w:pPr>
      <w:r w:rsidRPr="000D0DD8">
        <w:rPr>
          <w:b/>
          <w:sz w:val="22"/>
          <w:szCs w:val="22"/>
          <w:highlight w:val="yellow"/>
        </w:rPr>
        <w:t>Rights of older persons receiving long-term care</w:t>
      </w:r>
    </w:p>
    <w:p w:rsidR="007D2C62" w:rsidRPr="000D0DD8" w:rsidRDefault="007D2C62" w:rsidP="00302036">
      <w:pPr>
        <w:rPr>
          <w:b/>
          <w:sz w:val="22"/>
          <w:szCs w:val="22"/>
          <w:highlight w:val="yellow"/>
        </w:rPr>
      </w:pPr>
      <w:r w:rsidRPr="000D0DD8">
        <w:rPr>
          <w:b/>
          <w:sz w:val="22"/>
          <w:szCs w:val="22"/>
          <w:highlight w:val="yellow"/>
        </w:rPr>
        <w:t>(Agreed upon on April 16, 2013)</w:t>
      </w:r>
    </w:p>
    <w:p w:rsidR="007D2C62" w:rsidRPr="000D0DD8" w:rsidRDefault="007D2C62" w:rsidP="00302036">
      <w:pPr>
        <w:rPr>
          <w:b/>
          <w:sz w:val="22"/>
          <w:szCs w:val="22"/>
          <w:highlight w:val="yellow"/>
        </w:rPr>
      </w:pPr>
    </w:p>
    <w:p w:rsidR="007D2C62" w:rsidRPr="000D0DD8" w:rsidRDefault="007D2C62" w:rsidP="00302036">
      <w:pPr>
        <w:rPr>
          <w:iCs/>
          <w:color w:val="FF0000"/>
          <w:sz w:val="22"/>
          <w:szCs w:val="22"/>
          <w:highlight w:val="yellow"/>
        </w:rPr>
      </w:pPr>
      <w:r w:rsidRPr="000D0DD8">
        <w:rPr>
          <w:iCs/>
          <w:sz w:val="22"/>
          <w:szCs w:val="22"/>
          <w:highlight w:val="yellow"/>
        </w:rPr>
        <w:t xml:space="preserve">States Party shall adopt all measures needed to guarantee for older persons the effective enjoyment of their rights in long-term care services. </w:t>
      </w:r>
      <w:r w:rsidRPr="000D0DD8">
        <w:rPr>
          <w:iCs/>
          <w:color w:val="FF0000"/>
          <w:sz w:val="22"/>
          <w:szCs w:val="22"/>
          <w:highlight w:val="yellow"/>
        </w:rPr>
        <w:t xml:space="preserve">[SEE TRANSLATOR’S NOTE ABOVE] </w:t>
      </w:r>
      <w:r w:rsidRPr="000D0DD8">
        <w:rPr>
          <w:iCs/>
          <w:sz w:val="22"/>
          <w:szCs w:val="22"/>
          <w:highlight w:val="yellow"/>
        </w:rPr>
        <w:t>(</w:t>
      </w:r>
      <w:r w:rsidRPr="000D0DD8">
        <w:rPr>
          <w:b/>
          <w:iCs/>
          <w:sz w:val="22"/>
          <w:szCs w:val="22"/>
          <w:highlight w:val="yellow"/>
        </w:rPr>
        <w:t>Agreed upon on April 16, 2013)</w:t>
      </w:r>
    </w:p>
    <w:p w:rsidR="007D2C62" w:rsidRPr="000D0DD8" w:rsidRDefault="007D2C62" w:rsidP="00302036">
      <w:pPr>
        <w:rPr>
          <w:iCs/>
          <w:sz w:val="22"/>
          <w:szCs w:val="22"/>
          <w:highlight w:val="yellow"/>
        </w:rPr>
      </w:pPr>
    </w:p>
    <w:p w:rsidR="007D2C62" w:rsidRPr="000D0DD8" w:rsidRDefault="007D2C62" w:rsidP="00302036">
      <w:pPr>
        <w:rPr>
          <w:b/>
          <w:sz w:val="22"/>
          <w:szCs w:val="22"/>
          <w:highlight w:val="yellow"/>
        </w:rPr>
      </w:pPr>
      <w:r w:rsidRPr="000D0DD8">
        <w:rPr>
          <w:iCs/>
          <w:sz w:val="22"/>
          <w:szCs w:val="22"/>
          <w:highlight w:val="yellow"/>
        </w:rPr>
        <w:t>As regards long-term care services, States Party pledge to: (</w:t>
      </w:r>
      <w:r w:rsidRPr="000D0DD8">
        <w:rPr>
          <w:b/>
          <w:iCs/>
          <w:sz w:val="22"/>
          <w:szCs w:val="22"/>
          <w:highlight w:val="yellow"/>
        </w:rPr>
        <w:t>Agreed upon on April 16, 2013)</w:t>
      </w:r>
    </w:p>
    <w:p w:rsidR="007D2C62" w:rsidRPr="000D0DD8" w:rsidRDefault="007D2C62" w:rsidP="00302036">
      <w:pPr>
        <w:rPr>
          <w:sz w:val="22"/>
          <w:szCs w:val="22"/>
          <w:highlight w:val="yellow"/>
        </w:rPr>
      </w:pPr>
    </w:p>
    <w:p w:rsidR="007D2C62" w:rsidRPr="000D0DD8" w:rsidRDefault="007D2C62" w:rsidP="00302036">
      <w:pPr>
        <w:rPr>
          <w:iCs/>
          <w:sz w:val="22"/>
          <w:szCs w:val="22"/>
          <w:highlight w:val="yellow"/>
        </w:rPr>
      </w:pPr>
      <w:r w:rsidRPr="000D0DD8">
        <w:rPr>
          <w:sz w:val="22"/>
          <w:szCs w:val="22"/>
          <w:highlight w:val="yellow"/>
        </w:rPr>
        <w:t>a.</w:t>
      </w:r>
      <w:r w:rsidRPr="000D0DD8">
        <w:rPr>
          <w:sz w:val="22"/>
          <w:szCs w:val="22"/>
          <w:highlight w:val="yellow"/>
        </w:rPr>
        <w:tab/>
        <w:t>Establish an appropriate regulatory framework for their operations that allows the situation of older persons to be assessed and supervised, and ensures their dignity and full observance of their human rights</w:t>
      </w:r>
      <w:proofErr w:type="gramStart"/>
      <w:r w:rsidRPr="000D0DD8">
        <w:rPr>
          <w:sz w:val="22"/>
          <w:szCs w:val="22"/>
          <w:highlight w:val="yellow"/>
        </w:rPr>
        <w:t>;</w:t>
      </w:r>
      <w:proofErr w:type="gramEnd"/>
      <w:r w:rsidRPr="000D0DD8">
        <w:rPr>
          <w:sz w:val="22"/>
          <w:szCs w:val="22"/>
          <w:highlight w:val="yellow"/>
        </w:rPr>
        <w:t xml:space="preserve"> </w:t>
      </w:r>
      <w:r w:rsidRPr="000D0DD8">
        <w:rPr>
          <w:b/>
          <w:sz w:val="22"/>
          <w:szCs w:val="22"/>
          <w:highlight w:val="yellow"/>
        </w:rPr>
        <w:t>(Agreed upon at the meeting of December 4, 2012)</w:t>
      </w:r>
    </w:p>
    <w:p w:rsidR="007D2C62" w:rsidRPr="000D0DD8" w:rsidRDefault="007D2C62" w:rsidP="00302036">
      <w:pPr>
        <w:rPr>
          <w:sz w:val="22"/>
          <w:szCs w:val="22"/>
          <w:highlight w:val="yellow"/>
        </w:rPr>
      </w:pPr>
    </w:p>
    <w:p w:rsidR="007D2C62" w:rsidRPr="000D0DD8" w:rsidRDefault="007D2C62" w:rsidP="00302036">
      <w:pPr>
        <w:rPr>
          <w:b/>
          <w:iCs/>
          <w:sz w:val="22"/>
          <w:szCs w:val="22"/>
          <w:highlight w:val="yellow"/>
        </w:rPr>
      </w:pPr>
      <w:r w:rsidRPr="000D0DD8">
        <w:rPr>
          <w:sz w:val="22"/>
          <w:szCs w:val="22"/>
          <w:highlight w:val="yellow"/>
        </w:rPr>
        <w:t>b.</w:t>
      </w:r>
      <w:r w:rsidRPr="000D0DD8">
        <w:rPr>
          <w:sz w:val="22"/>
          <w:szCs w:val="22"/>
          <w:highlight w:val="yellow"/>
        </w:rPr>
        <w:tab/>
        <w:t xml:space="preserve">Ensure that those services </w:t>
      </w:r>
      <w:r w:rsidRPr="000D0DD8">
        <w:rPr>
          <w:iCs/>
          <w:color w:val="FF0000"/>
          <w:sz w:val="22"/>
          <w:szCs w:val="22"/>
          <w:highlight w:val="yellow"/>
        </w:rPr>
        <w:t>[SEE TRANSLATOR’S NOTE ABOVE</w:t>
      </w:r>
      <w:proofErr w:type="gramStart"/>
      <w:r w:rsidRPr="000D0DD8">
        <w:rPr>
          <w:iCs/>
          <w:color w:val="FF0000"/>
          <w:sz w:val="22"/>
          <w:szCs w:val="22"/>
          <w:highlight w:val="yellow"/>
        </w:rPr>
        <w:t xml:space="preserve">] </w:t>
      </w:r>
      <w:r w:rsidRPr="000D0DD8">
        <w:rPr>
          <w:sz w:val="22"/>
          <w:szCs w:val="22"/>
          <w:highlight w:val="yellow"/>
        </w:rPr>
        <w:t xml:space="preserve"> have</w:t>
      </w:r>
      <w:proofErr w:type="gramEnd"/>
      <w:r w:rsidRPr="000D0DD8">
        <w:rPr>
          <w:sz w:val="22"/>
          <w:szCs w:val="22"/>
          <w:highlight w:val="yellow"/>
        </w:rPr>
        <w:t xml:space="preserve"> specialized personnel who can provide appropriate and comprehensive case and can prevent actions or practices that could do harm or exacerbate the existing condition;</w:t>
      </w:r>
      <w:r w:rsidRPr="000D0DD8">
        <w:rPr>
          <w:b/>
          <w:iCs/>
          <w:sz w:val="22"/>
          <w:szCs w:val="22"/>
          <w:highlight w:val="yellow"/>
        </w:rPr>
        <w:t xml:space="preserve"> </w:t>
      </w:r>
      <w:r w:rsidRPr="000D0DD8">
        <w:rPr>
          <w:iCs/>
          <w:sz w:val="22"/>
          <w:szCs w:val="22"/>
          <w:highlight w:val="yellow"/>
        </w:rPr>
        <w:t>(</w:t>
      </w:r>
      <w:r w:rsidRPr="000D0DD8">
        <w:rPr>
          <w:b/>
          <w:iCs/>
          <w:sz w:val="22"/>
          <w:szCs w:val="22"/>
          <w:highlight w:val="yellow"/>
        </w:rPr>
        <w:t>Agreed upon on April 16, 2013)</w:t>
      </w:r>
    </w:p>
    <w:p w:rsidR="007D2C62" w:rsidRPr="000D0DD8" w:rsidRDefault="007D2C62" w:rsidP="00302036">
      <w:pPr>
        <w:rPr>
          <w:sz w:val="22"/>
          <w:szCs w:val="22"/>
          <w:highlight w:val="yellow"/>
        </w:rPr>
      </w:pPr>
    </w:p>
    <w:p w:rsidR="007D2C62" w:rsidRPr="000D0DD8" w:rsidRDefault="007D2C62" w:rsidP="00302036">
      <w:pPr>
        <w:rPr>
          <w:b/>
          <w:sz w:val="22"/>
          <w:szCs w:val="22"/>
          <w:highlight w:val="yellow"/>
        </w:rPr>
      </w:pPr>
      <w:r w:rsidRPr="000D0DD8">
        <w:rPr>
          <w:sz w:val="22"/>
          <w:szCs w:val="22"/>
          <w:highlight w:val="yellow"/>
        </w:rPr>
        <w:t>c.</w:t>
      </w:r>
      <w:r w:rsidRPr="000D0DD8">
        <w:rPr>
          <w:sz w:val="22"/>
          <w:szCs w:val="22"/>
          <w:highlight w:val="yellow"/>
        </w:rPr>
        <w:tab/>
        <w:t>Establish mechanisms to ensure full exercise of the rights of older persons with respect to consent, duration, and ending of long-term care services</w:t>
      </w:r>
      <w:proofErr w:type="gramStart"/>
      <w:r w:rsidRPr="000D0DD8">
        <w:rPr>
          <w:sz w:val="22"/>
          <w:szCs w:val="22"/>
          <w:highlight w:val="yellow"/>
        </w:rPr>
        <w:t>;</w:t>
      </w:r>
      <w:proofErr w:type="gramEnd"/>
      <w:r w:rsidRPr="000D0DD8">
        <w:rPr>
          <w:b/>
          <w:iCs/>
          <w:sz w:val="22"/>
          <w:szCs w:val="22"/>
          <w:highlight w:val="yellow"/>
        </w:rPr>
        <w:t xml:space="preserve"> </w:t>
      </w:r>
      <w:r w:rsidRPr="000D0DD8">
        <w:rPr>
          <w:b/>
          <w:sz w:val="22"/>
          <w:szCs w:val="22"/>
          <w:highlight w:val="yellow"/>
        </w:rPr>
        <w:t>(</w:t>
      </w:r>
      <w:r w:rsidRPr="000D0DD8">
        <w:rPr>
          <w:b/>
          <w:iCs/>
          <w:sz w:val="22"/>
          <w:szCs w:val="22"/>
          <w:highlight w:val="yellow"/>
        </w:rPr>
        <w:t>Agreed upon on April 16, 2013)</w:t>
      </w:r>
    </w:p>
    <w:p w:rsidR="007D2C62" w:rsidRPr="000D0DD8" w:rsidRDefault="007D2C62" w:rsidP="00302036">
      <w:pPr>
        <w:rPr>
          <w:bCs/>
          <w:sz w:val="22"/>
          <w:szCs w:val="22"/>
          <w:highlight w:val="yellow"/>
        </w:rPr>
      </w:pPr>
    </w:p>
    <w:p w:rsidR="007D2C62" w:rsidRPr="000D0DD8" w:rsidRDefault="007D2C62" w:rsidP="00302036">
      <w:pPr>
        <w:rPr>
          <w:b/>
          <w:color w:val="FF0000"/>
          <w:sz w:val="22"/>
          <w:szCs w:val="22"/>
          <w:highlight w:val="yellow"/>
        </w:rPr>
      </w:pPr>
      <w:r w:rsidRPr="000D0DD8">
        <w:rPr>
          <w:sz w:val="22"/>
          <w:szCs w:val="22"/>
          <w:highlight w:val="yellow"/>
        </w:rPr>
        <w:t>d.</w:t>
      </w:r>
      <w:r w:rsidRPr="000D0DD8">
        <w:rPr>
          <w:sz w:val="22"/>
          <w:szCs w:val="22"/>
          <w:highlight w:val="yellow"/>
        </w:rPr>
        <w:tab/>
        <w:t>Enact the necessary laws, in accordance with domestic mechanisms, to ensure that the persons in charge of long-term care services, and their staff, are civilly and/or criminally liable for any acts they commit to the detriment of older person</w:t>
      </w:r>
      <w:r w:rsidRPr="000D0DD8">
        <w:rPr>
          <w:b/>
          <w:sz w:val="22"/>
          <w:szCs w:val="22"/>
          <w:highlight w:val="yellow"/>
        </w:rPr>
        <w:t>s</w:t>
      </w:r>
      <w:r w:rsidRPr="000D0DD8">
        <w:rPr>
          <w:sz w:val="22"/>
          <w:szCs w:val="22"/>
          <w:highlight w:val="yellow"/>
        </w:rPr>
        <w:t xml:space="preserve">, without prejudice to appropriate administrative penalties. </w:t>
      </w:r>
      <w:r w:rsidRPr="000D0DD8">
        <w:rPr>
          <w:iCs/>
          <w:sz w:val="22"/>
          <w:szCs w:val="22"/>
          <w:highlight w:val="yellow"/>
        </w:rPr>
        <w:t>(</w:t>
      </w:r>
      <w:r w:rsidRPr="000D0DD8">
        <w:rPr>
          <w:b/>
          <w:iCs/>
          <w:sz w:val="22"/>
          <w:szCs w:val="22"/>
          <w:highlight w:val="yellow"/>
        </w:rPr>
        <w:t>Agreed upon on April 16, 2013)</w:t>
      </w:r>
    </w:p>
    <w:p w:rsidR="007D2C62" w:rsidRPr="000D0DD8" w:rsidRDefault="007D2C62" w:rsidP="00302036">
      <w:pPr>
        <w:rPr>
          <w:b/>
          <w:color w:val="FF0000"/>
          <w:sz w:val="22"/>
          <w:szCs w:val="22"/>
          <w:highlight w:val="yellow"/>
        </w:rPr>
      </w:pPr>
    </w:p>
    <w:p w:rsidR="007D2C62" w:rsidRPr="000D0DD8" w:rsidRDefault="007D2C62" w:rsidP="00302036">
      <w:pPr>
        <w:rPr>
          <w:b/>
          <w:sz w:val="22"/>
          <w:szCs w:val="22"/>
          <w:highlight w:val="yellow"/>
        </w:rPr>
      </w:pPr>
      <w:r w:rsidRPr="000D0DD8">
        <w:rPr>
          <w:bCs/>
          <w:sz w:val="22"/>
          <w:szCs w:val="22"/>
          <w:highlight w:val="yellow"/>
        </w:rPr>
        <w:t>e.</w:t>
      </w:r>
      <w:r w:rsidRPr="000D0DD8">
        <w:rPr>
          <w:b/>
          <w:sz w:val="22"/>
          <w:szCs w:val="22"/>
          <w:highlight w:val="yellow"/>
        </w:rPr>
        <w:tab/>
      </w:r>
      <w:r w:rsidRPr="000D0DD8">
        <w:rPr>
          <w:sz w:val="22"/>
          <w:szCs w:val="22"/>
          <w:highlight w:val="yellow"/>
        </w:rPr>
        <w:t xml:space="preserve">States Party shall adopt appropriate measures to ensure older persons in long-term care facilities the freedom to move about and to protect their personal safety. </w:t>
      </w:r>
      <w:r w:rsidRPr="000D0DD8">
        <w:rPr>
          <w:b/>
          <w:sz w:val="22"/>
          <w:szCs w:val="22"/>
          <w:highlight w:val="yellow"/>
        </w:rPr>
        <w:t>(</w:t>
      </w:r>
      <w:r w:rsidRPr="000D0DD8">
        <w:rPr>
          <w:b/>
          <w:sz w:val="22"/>
          <w:szCs w:val="22"/>
          <w:highlight w:val="yellow"/>
          <w:shd w:val="clear" w:color="auto" w:fill="C0C0C0"/>
        </w:rPr>
        <w:t>Agreed</w:t>
      </w:r>
      <w:r w:rsidRPr="000D0DD8">
        <w:rPr>
          <w:b/>
          <w:sz w:val="22"/>
          <w:szCs w:val="22"/>
          <w:highlight w:val="yellow"/>
        </w:rPr>
        <w:t xml:space="preserve"> upon on April 19, 2013.)</w:t>
      </w:r>
    </w:p>
    <w:p w:rsidR="007D2C62" w:rsidRPr="000D0DD8" w:rsidRDefault="007D2C62" w:rsidP="00302036">
      <w:pPr>
        <w:rPr>
          <w:bCs/>
          <w:sz w:val="22"/>
          <w:szCs w:val="22"/>
          <w:highlight w:val="yellow"/>
        </w:rPr>
      </w:pPr>
    </w:p>
    <w:p w:rsidR="007D2C62" w:rsidRPr="00AC6105" w:rsidRDefault="007D2C62" w:rsidP="00302036">
      <w:pPr>
        <w:rPr>
          <w:b/>
          <w:sz w:val="22"/>
          <w:szCs w:val="22"/>
        </w:rPr>
      </w:pPr>
      <w:r w:rsidRPr="000D0DD8">
        <w:rPr>
          <w:b/>
          <w:sz w:val="22"/>
          <w:szCs w:val="22"/>
          <w:highlight w:val="yellow"/>
        </w:rPr>
        <w:t>(On April 26, 2013, the Chair suggested that the paragraphs that were previously going to be moved from Article 34 to this new Article should be incorporated in Article 32, except for the two following paragraphs that were deleted)</w:t>
      </w:r>
    </w:p>
    <w:p w:rsidR="001C41CC" w:rsidRDefault="001C41CC" w:rsidP="00302036">
      <w:pPr>
        <w:rPr>
          <w:rFonts w:eastAsia="Calibri"/>
          <w:b/>
        </w:rPr>
      </w:pPr>
    </w:p>
    <w:p w:rsidR="001C41CC" w:rsidRPr="00AC6105" w:rsidRDefault="001C41CC" w:rsidP="00302036">
      <w:pPr>
        <w:rPr>
          <w:sz w:val="22"/>
          <w:szCs w:val="22"/>
        </w:rPr>
      </w:pPr>
      <w:r w:rsidRPr="00E21B54">
        <w:rPr>
          <w:sz w:val="22"/>
          <w:szCs w:val="22"/>
          <w:highlight w:val="red"/>
        </w:rPr>
        <w:t xml:space="preserve">DELETE: </w:t>
      </w:r>
      <w:r w:rsidRPr="00E21B54">
        <w:rPr>
          <w:sz w:val="22"/>
          <w:szCs w:val="22"/>
          <w:highlight w:val="yellow"/>
        </w:rPr>
        <w:t>“</w:t>
      </w:r>
      <w:r w:rsidRPr="00E21B54">
        <w:rPr>
          <w:sz w:val="22"/>
          <w:szCs w:val="22"/>
          <w:highlight w:val="yellow"/>
          <w:u w:val="single"/>
        </w:rPr>
        <w:t>Long-stay facility</w:t>
      </w:r>
      <w:r w:rsidRPr="00E21B54">
        <w:rPr>
          <w:sz w:val="22"/>
          <w:szCs w:val="22"/>
          <w:highlight w:val="yellow"/>
        </w:rPr>
        <w:t>” is a public or private establishment providing comprehensive social and health care services, over a prolonged period of time, for older persons with moderate or severe dependency, who cannot receive care in their own home. (</w:t>
      </w:r>
      <w:r w:rsidRPr="00E21B54">
        <w:rPr>
          <w:b/>
          <w:sz w:val="22"/>
          <w:szCs w:val="22"/>
          <w:highlight w:val="yellow"/>
        </w:rPr>
        <w:t>Agreed upon at the meeting of October 16)</w:t>
      </w:r>
      <w:r>
        <w:rPr>
          <w:b/>
          <w:sz w:val="22"/>
          <w:szCs w:val="22"/>
        </w:rPr>
        <w:t xml:space="preserve">  (Article 2)</w:t>
      </w:r>
    </w:p>
    <w:p w:rsidR="00302036" w:rsidRDefault="00302036" w:rsidP="00302036">
      <w:pPr>
        <w:rPr>
          <w:rFonts w:eastAsia="Calibri"/>
          <w:b/>
        </w:rPr>
      </w:pPr>
    </w:p>
    <w:p w:rsidR="00302036" w:rsidRPr="00AC6105" w:rsidRDefault="00302036" w:rsidP="00302036">
      <w:pPr>
        <w:rPr>
          <w:b/>
          <w:sz w:val="22"/>
          <w:szCs w:val="22"/>
        </w:rPr>
      </w:pPr>
      <w:r w:rsidRPr="00AC6105">
        <w:rPr>
          <w:sz w:val="22"/>
          <w:szCs w:val="22"/>
        </w:rPr>
        <w:t xml:space="preserve">Ensure universal, equitable, and timely access to quality, comprehensive, primary care-based social and health care services and establish and implement integrated social and health care services, home care, daycare centers, </w:t>
      </w:r>
      <w:r w:rsidRPr="00CB7CEA">
        <w:rPr>
          <w:sz w:val="22"/>
          <w:szCs w:val="22"/>
          <w:highlight w:val="red"/>
        </w:rPr>
        <w:t xml:space="preserve">DELETE: </w:t>
      </w:r>
      <w:r w:rsidRPr="00CB7CEA">
        <w:rPr>
          <w:sz w:val="22"/>
          <w:szCs w:val="22"/>
          <w:highlight w:val="yellow"/>
        </w:rPr>
        <w:t>and long- and short-stay residential facilities;</w:t>
      </w:r>
      <w:r w:rsidRPr="00AC6105">
        <w:rPr>
          <w:sz w:val="22"/>
          <w:szCs w:val="22"/>
        </w:rPr>
        <w:t xml:space="preserve"> and, where possible, take advantage of </w:t>
      </w:r>
      <w:r w:rsidRPr="00302036">
        <w:t>traditional, alternative, and complementary medicine. (</w:t>
      </w:r>
      <w:r w:rsidRPr="00302036">
        <w:rPr>
          <w:highlight w:val="lightGray"/>
        </w:rPr>
        <w:t>Agreed</w:t>
      </w:r>
      <w:r w:rsidRPr="00302036">
        <w:t xml:space="preserve"> upon on</w:t>
      </w:r>
      <w:r w:rsidRPr="00AC6105">
        <w:rPr>
          <w:b/>
          <w:sz w:val="22"/>
          <w:szCs w:val="22"/>
        </w:rPr>
        <w:t xml:space="preserve"> February 4, 2013, </w:t>
      </w:r>
      <w:r w:rsidRPr="00AC6105">
        <w:rPr>
          <w:b/>
          <w:sz w:val="22"/>
          <w:szCs w:val="22"/>
          <w:shd w:val="clear" w:color="auto" w:fill="C0C0C0"/>
        </w:rPr>
        <w:t>CRI:  in consultation</w:t>
      </w:r>
      <w:r w:rsidRPr="00AC6105">
        <w:rPr>
          <w:b/>
          <w:sz w:val="22"/>
          <w:szCs w:val="22"/>
        </w:rPr>
        <w:t>)</w:t>
      </w:r>
      <w:r>
        <w:rPr>
          <w:b/>
          <w:sz w:val="22"/>
          <w:szCs w:val="22"/>
        </w:rPr>
        <w:t xml:space="preserve"> (Article 17)</w:t>
      </w:r>
    </w:p>
    <w:p w:rsidR="001C41CC" w:rsidRDefault="001C41CC" w:rsidP="00302036">
      <w:pPr>
        <w:rPr>
          <w:rFonts w:eastAsia="Calibri"/>
          <w:b/>
        </w:rPr>
      </w:pPr>
    </w:p>
    <w:p w:rsidR="001C41CC" w:rsidRPr="001C41CC" w:rsidRDefault="001C41CC" w:rsidP="00302036">
      <w:pPr>
        <w:rPr>
          <w:b/>
          <w:sz w:val="22"/>
          <w:szCs w:val="22"/>
        </w:rPr>
      </w:pPr>
      <w:r w:rsidRPr="00AC6105">
        <w:rPr>
          <w:b/>
          <w:sz w:val="22"/>
          <w:szCs w:val="22"/>
        </w:rPr>
        <w:t>[</w:t>
      </w:r>
      <w:r w:rsidRPr="00AC6105">
        <w:rPr>
          <w:b/>
          <w:sz w:val="22"/>
          <w:szCs w:val="22"/>
          <w:highlight w:val="lightGray"/>
        </w:rPr>
        <w:t>ALT CHAIR</w:t>
      </w:r>
      <w:r w:rsidRPr="00AC6105">
        <w:rPr>
          <w:b/>
          <w:sz w:val="22"/>
          <w:szCs w:val="22"/>
        </w:rPr>
        <w:t xml:space="preserve">: </w:t>
      </w:r>
      <w:r w:rsidRPr="00AC6105">
        <w:rPr>
          <w:sz w:val="22"/>
          <w:szCs w:val="22"/>
        </w:rPr>
        <w:t>Ensure universal, equitable, and timely access to quality, comprehensive, primary care-based social and health care services and establish and implement integrated social and health care services, home care, [</w:t>
      </w:r>
      <w:r w:rsidRPr="00E21B54">
        <w:rPr>
          <w:sz w:val="22"/>
          <w:szCs w:val="22"/>
          <w:highlight w:val="red"/>
        </w:rPr>
        <w:t xml:space="preserve">DELETE: </w:t>
      </w:r>
      <w:r w:rsidRPr="00E21B54">
        <w:rPr>
          <w:sz w:val="22"/>
          <w:szCs w:val="22"/>
          <w:highlight w:val="yellow"/>
        </w:rPr>
        <w:t>CHAIR: long-term care services,]</w:t>
      </w:r>
      <w:r w:rsidRPr="00AC6105">
        <w:rPr>
          <w:sz w:val="22"/>
          <w:szCs w:val="22"/>
        </w:rPr>
        <w:t xml:space="preserve"> daycare centers, and long- and short-stay residential facilities; and, where possible, take advantage of traditional, alternative, and complementary medicine.</w:t>
      </w:r>
      <w:r>
        <w:rPr>
          <w:sz w:val="22"/>
          <w:szCs w:val="22"/>
        </w:rPr>
        <w:t xml:space="preserve"> </w:t>
      </w:r>
      <w:r>
        <w:rPr>
          <w:b/>
          <w:sz w:val="22"/>
          <w:szCs w:val="22"/>
        </w:rPr>
        <w:t>(Article 17)</w:t>
      </w:r>
    </w:p>
    <w:p w:rsidR="007D2C62" w:rsidRPr="007D2C62" w:rsidRDefault="007D2C62" w:rsidP="00302036">
      <w:pPr>
        <w:rPr>
          <w:rFonts w:eastAsia="Calibri"/>
          <w:b/>
        </w:rPr>
      </w:pPr>
    </w:p>
    <w:p w:rsidR="00902F89" w:rsidRDefault="001C41CC" w:rsidP="00302036">
      <w:pPr>
        <w:ind w:firstLine="720"/>
        <w:rPr>
          <w:rFonts w:eastAsia="Calibri"/>
        </w:rPr>
      </w:pPr>
      <w:r>
        <w:rPr>
          <w:rFonts w:eastAsia="Calibri"/>
        </w:rPr>
        <w:t>6</w:t>
      </w:r>
      <w:r w:rsidR="007D2C62">
        <w:rPr>
          <w:rFonts w:eastAsia="Calibri"/>
        </w:rPr>
        <w:t>. Insert a provision based</w:t>
      </w:r>
      <w:r w:rsidR="00902F89">
        <w:rPr>
          <w:rFonts w:eastAsia="Calibri"/>
        </w:rPr>
        <w:t xml:space="preserve"> on CRPD Article 16.3 into draft Article 8: </w:t>
      </w:r>
    </w:p>
    <w:p w:rsidR="00902F89" w:rsidRDefault="00902F89" w:rsidP="00302036">
      <w:pPr>
        <w:rPr>
          <w:rFonts w:eastAsia="Calibri"/>
        </w:rPr>
      </w:pPr>
    </w:p>
    <w:p w:rsidR="00950CF9" w:rsidRDefault="00902F89" w:rsidP="00302036">
      <w:pPr>
        <w:rPr>
          <w:lang w:val="en-GB"/>
        </w:rPr>
      </w:pPr>
      <w:r w:rsidRPr="001C41CC">
        <w:rPr>
          <w:sz w:val="22"/>
          <w:szCs w:val="22"/>
          <w:highlight w:val="green"/>
        </w:rPr>
        <w:t xml:space="preserve">INSERT: </w:t>
      </w:r>
      <w:r w:rsidRPr="000D0DD8">
        <w:rPr>
          <w:sz w:val="22"/>
          <w:szCs w:val="22"/>
          <w:highlight w:val="yellow"/>
        </w:rPr>
        <w:t>j.</w:t>
      </w:r>
      <w:r w:rsidRPr="000D0DD8">
        <w:rPr>
          <w:b/>
          <w:sz w:val="22"/>
          <w:szCs w:val="22"/>
          <w:highlight w:val="yellow"/>
        </w:rPr>
        <w:t xml:space="preserve"> </w:t>
      </w:r>
      <w:r w:rsidRPr="000D0DD8">
        <w:rPr>
          <w:highlight w:val="yellow"/>
          <w:lang w:val="en-GB"/>
        </w:rPr>
        <w:t xml:space="preserve">In order to prevent the occurrence of all forms of exploitation, violence and abuse, States Parties shall ensure that </w:t>
      </w:r>
      <w:proofErr w:type="gramStart"/>
      <w:r w:rsidRPr="000D0DD8">
        <w:rPr>
          <w:highlight w:val="yellow"/>
          <w:lang w:val="en-GB"/>
        </w:rPr>
        <w:t>all facilities and programmes designed to serve older persons are effectively monitored by independent authorities</w:t>
      </w:r>
      <w:proofErr w:type="gramEnd"/>
      <w:r w:rsidRPr="000D0DD8">
        <w:rPr>
          <w:highlight w:val="yellow"/>
          <w:lang w:val="en-GB"/>
        </w:rPr>
        <w:t>.</w:t>
      </w:r>
    </w:p>
    <w:p w:rsidR="00950CF9" w:rsidRDefault="00950CF9" w:rsidP="00302036">
      <w:pPr>
        <w:rPr>
          <w:lang w:val="en-GB"/>
        </w:rPr>
      </w:pPr>
    </w:p>
    <w:p w:rsidR="00902F89" w:rsidRPr="00AC6105" w:rsidRDefault="00502141" w:rsidP="00302036">
      <w:pPr>
        <w:ind w:firstLine="720"/>
        <w:rPr>
          <w:b/>
          <w:sz w:val="22"/>
          <w:szCs w:val="22"/>
        </w:rPr>
      </w:pPr>
      <w:r>
        <w:rPr>
          <w:lang w:val="en-GB"/>
        </w:rPr>
        <w:t>7</w:t>
      </w:r>
      <w:r w:rsidR="00950CF9">
        <w:rPr>
          <w:lang w:val="en-GB"/>
        </w:rPr>
        <w:t>. We agree with the proposal to insert provisions based on CRPD Article 9 on accessibility.</w:t>
      </w:r>
    </w:p>
    <w:p w:rsidR="007D2C62" w:rsidRDefault="007D2C62" w:rsidP="00302036">
      <w:pPr>
        <w:rPr>
          <w:rFonts w:eastAsia="Calibri"/>
        </w:rPr>
      </w:pPr>
    </w:p>
    <w:p w:rsidR="004C5DAB" w:rsidRDefault="004C5DAB" w:rsidP="00302036">
      <w:pPr>
        <w:rPr>
          <w:rFonts w:eastAsia="Calibri"/>
        </w:rPr>
      </w:pPr>
    </w:p>
    <w:sectPr w:rsidR="004C5DAB" w:rsidSect="0065456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imSun">
    <w:altName w:val="Arial Unicode MS"/>
    <w:panose1 w:val="00000000000000000000"/>
    <w:charset w:val="86"/>
    <w:family w:val="auto"/>
    <w:notTrueType/>
    <w:pitch w:val="variable"/>
    <w:sig w:usb0="00000001" w:usb1="080E0000" w:usb2="00000010" w:usb3="00000000" w:csb0="00040000" w:csb1="00000000"/>
  </w:font>
  <w:font w:name="Calibri">
    <w:altName w:val="Arial"/>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0E55AA" w:rsidRDefault="000E55AA">
      <w:pPr>
        <w:pStyle w:val="FootnoteText"/>
      </w:pPr>
      <w:r>
        <w:rPr>
          <w:rStyle w:val="FootnoteReference"/>
        </w:rPr>
        <w:footnoteRef/>
      </w:r>
      <w:r>
        <w:t xml:space="preserve"> </w:t>
      </w:r>
      <w:proofErr w:type="gramStart"/>
      <w:r>
        <w:t xml:space="preserve">CRPD/C/CHN/CO/1 </w:t>
      </w:r>
      <w:proofErr w:type="spellStart"/>
      <w:r>
        <w:t>para</w:t>
      </w:r>
      <w:proofErr w:type="spellEnd"/>
      <w:r>
        <w:t xml:space="preserve"> 26.</w:t>
      </w:r>
      <w:proofErr w:type="gramEnd"/>
    </w:p>
  </w:footnote>
  <w:footnote w:id="1">
    <w:p w:rsidR="000E55AA" w:rsidRDefault="000E55AA">
      <w:pPr>
        <w:pStyle w:val="FootnoteText"/>
      </w:pPr>
      <w:r>
        <w:rPr>
          <w:rStyle w:val="FootnoteReference"/>
        </w:rPr>
        <w:footnoteRef/>
      </w:r>
      <w:r>
        <w:t xml:space="preserve"> </w:t>
      </w:r>
      <w:proofErr w:type="gramStart"/>
      <w:r>
        <w:t xml:space="preserve">CRPD/C/ESP/CO/1 </w:t>
      </w:r>
      <w:proofErr w:type="spellStart"/>
      <w:r>
        <w:t>para</w:t>
      </w:r>
      <w:proofErr w:type="spellEnd"/>
      <w:r>
        <w:t xml:space="preserve"> 36.</w:t>
      </w:r>
      <w:proofErr w:type="gramEnd"/>
    </w:p>
  </w:footnote>
  <w:footnote w:id="2">
    <w:p w:rsidR="000E55AA" w:rsidRDefault="000E55AA">
      <w:pPr>
        <w:pStyle w:val="FootnoteText"/>
      </w:pPr>
      <w:r>
        <w:rPr>
          <w:rStyle w:val="FootnoteReference"/>
        </w:rPr>
        <w:footnoteRef/>
      </w:r>
      <w:r>
        <w:t xml:space="preserve"> </w:t>
      </w:r>
      <w:proofErr w:type="gramStart"/>
      <w:r>
        <w:t xml:space="preserve">CRPD/C/HUN/CO/1 </w:t>
      </w:r>
      <w:proofErr w:type="spellStart"/>
      <w:r>
        <w:t>para</w:t>
      </w:r>
      <w:proofErr w:type="spellEnd"/>
      <w:r>
        <w:t xml:space="preserve"> 28.</w:t>
      </w:r>
      <w:proofErr w:type="gramEnd"/>
    </w:p>
  </w:footnote>
  <w:footnote w:id="3">
    <w:p w:rsidR="000E55AA" w:rsidRDefault="000E55AA" w:rsidP="00AD5E6A">
      <w:pPr>
        <w:pStyle w:val="FootnoteText"/>
      </w:pPr>
      <w:r>
        <w:rPr>
          <w:rStyle w:val="FootnoteReference"/>
        </w:rPr>
        <w:footnoteRef/>
      </w:r>
      <w:r>
        <w:t xml:space="preserve"> </w:t>
      </w:r>
      <w:proofErr w:type="gramStart"/>
      <w:r>
        <w:t xml:space="preserve">CRPD/C/HUN/CO/1 </w:t>
      </w:r>
      <w:proofErr w:type="spellStart"/>
      <w:r>
        <w:t>para</w:t>
      </w:r>
      <w:proofErr w:type="spellEnd"/>
      <w:r>
        <w:t xml:space="preserve"> 26.</w:t>
      </w:r>
      <w:proofErr w:type="gramEnd"/>
    </w:p>
  </w:footnote>
  <w:footnote w:id="4">
    <w:p w:rsidR="000E55AA" w:rsidRDefault="000E55AA">
      <w:pPr>
        <w:pStyle w:val="FootnoteText"/>
      </w:pPr>
      <w:r>
        <w:rPr>
          <w:rStyle w:val="FootnoteReference"/>
        </w:rPr>
        <w:footnoteRef/>
      </w:r>
      <w:r>
        <w:t xml:space="preserve"> </w:t>
      </w:r>
      <w:proofErr w:type="gramStart"/>
      <w:r>
        <w:t xml:space="preserve">CRPD/C/CHN/CO/1 </w:t>
      </w:r>
      <w:proofErr w:type="spellStart"/>
      <w:r>
        <w:t>para</w:t>
      </w:r>
      <w:proofErr w:type="spellEnd"/>
      <w:r>
        <w:t xml:space="preserve"> 32.</w:t>
      </w:r>
      <w:proofErr w:type="gramEnd"/>
    </w:p>
  </w:footnote>
  <w:footnote w:id="5">
    <w:p w:rsidR="000E55AA" w:rsidRDefault="000E55AA">
      <w:pPr>
        <w:pStyle w:val="FootnoteText"/>
      </w:pPr>
      <w:r>
        <w:rPr>
          <w:rStyle w:val="FootnoteReference"/>
        </w:rPr>
        <w:footnoteRef/>
      </w:r>
      <w:r>
        <w:t xml:space="preserve"> </w:t>
      </w:r>
      <w:proofErr w:type="gramStart"/>
      <w:r>
        <w:t xml:space="preserve">CRPD/C/CHN/CO/1 </w:t>
      </w:r>
      <w:proofErr w:type="spellStart"/>
      <w:r>
        <w:t>para</w:t>
      </w:r>
      <w:proofErr w:type="spellEnd"/>
      <w:r>
        <w:t xml:space="preserve"> 26.</w:t>
      </w:r>
      <w:proofErr w:type="gramEnd"/>
    </w:p>
  </w:footnote>
  <w:footnote w:id="6">
    <w:p w:rsidR="000E55AA" w:rsidRDefault="000E55AA">
      <w:pPr>
        <w:pStyle w:val="FootnoteText"/>
      </w:pPr>
      <w:r>
        <w:rPr>
          <w:rStyle w:val="FootnoteReference"/>
        </w:rPr>
        <w:footnoteRef/>
      </w:r>
      <w:r>
        <w:t xml:space="preserve"> </w:t>
      </w:r>
      <w:proofErr w:type="gramStart"/>
      <w:r>
        <w:t xml:space="preserve">CRPD/C/CHN/CO/1 </w:t>
      </w:r>
      <w:proofErr w:type="spellStart"/>
      <w:r>
        <w:t>para</w:t>
      </w:r>
      <w:proofErr w:type="spellEnd"/>
      <w:r>
        <w:t xml:space="preserve"> 38.</w:t>
      </w:r>
      <w:proofErr w:type="gramEnd"/>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68D4527"/>
    <w:multiLevelType w:val="hybridMultilevel"/>
    <w:tmpl w:val="BAE0A9C4"/>
    <w:lvl w:ilvl="0" w:tplc="65CCA22A">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BE4541F"/>
    <w:multiLevelType w:val="hybridMultilevel"/>
    <w:tmpl w:val="355C8838"/>
    <w:lvl w:ilvl="0" w:tplc="95243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5456D"/>
    <w:rsid w:val="00043AFA"/>
    <w:rsid w:val="000E55AA"/>
    <w:rsid w:val="0017147D"/>
    <w:rsid w:val="001A7F3C"/>
    <w:rsid w:val="001B7616"/>
    <w:rsid w:val="001C41CC"/>
    <w:rsid w:val="002B1637"/>
    <w:rsid w:val="002F4C22"/>
    <w:rsid w:val="00302036"/>
    <w:rsid w:val="003026B7"/>
    <w:rsid w:val="0040037F"/>
    <w:rsid w:val="004C5DAB"/>
    <w:rsid w:val="004D5ECC"/>
    <w:rsid w:val="00502141"/>
    <w:rsid w:val="005178E5"/>
    <w:rsid w:val="005347B4"/>
    <w:rsid w:val="00597CB5"/>
    <w:rsid w:val="00611672"/>
    <w:rsid w:val="0065456D"/>
    <w:rsid w:val="007706D8"/>
    <w:rsid w:val="007D2C62"/>
    <w:rsid w:val="0084055D"/>
    <w:rsid w:val="00902F89"/>
    <w:rsid w:val="00923A7A"/>
    <w:rsid w:val="00950CF9"/>
    <w:rsid w:val="009E2E89"/>
    <w:rsid w:val="009E415A"/>
    <w:rsid w:val="00AD5E6A"/>
    <w:rsid w:val="00B8789A"/>
    <w:rsid w:val="00BD12FE"/>
    <w:rsid w:val="00BD3B70"/>
    <w:rsid w:val="00C60C64"/>
    <w:rsid w:val="00CB50AC"/>
    <w:rsid w:val="00E57D59"/>
    <w:rsid w:val="00E6159C"/>
    <w:rsid w:val="00F500FA"/>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A28A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D589A"/>
    <w:rPr>
      <w:rFonts w:ascii="Lucida Grande" w:hAnsi="Lucida Grande"/>
      <w:sz w:val="18"/>
      <w:szCs w:val="18"/>
    </w:rPr>
  </w:style>
  <w:style w:type="character" w:customStyle="1" w:styleId="BalloonTextChar">
    <w:name w:val="Balloon Text Char"/>
    <w:basedOn w:val="DefaultParagraphFont"/>
    <w:link w:val="BalloonText"/>
    <w:uiPriority w:val="99"/>
    <w:semiHidden/>
    <w:rsid w:val="004D589A"/>
    <w:rPr>
      <w:rFonts w:ascii="Lucida Grande" w:hAnsi="Lucida Grande"/>
      <w:sz w:val="18"/>
      <w:szCs w:val="18"/>
    </w:rPr>
  </w:style>
  <w:style w:type="paragraph" w:styleId="FootnoteText">
    <w:name w:val="footnote text"/>
    <w:aliases w:val="fn,footnotes,Footnote Text Char2 Char,Footnote Text Char Char1 Char,Footnote Text Char2 Char Char Char,Footnote Text Char1 Char Char Char Char,Footnote Text Char Char Char Char Char Char,Char Char Char Char,Char Char, Char Char,5_G,FA Fu"/>
    <w:basedOn w:val="Normal"/>
    <w:link w:val="FootnoteTextChar"/>
    <w:unhideWhenUsed/>
    <w:rsid w:val="002F4C22"/>
  </w:style>
  <w:style w:type="character" w:customStyle="1" w:styleId="FootnoteTextChar">
    <w:name w:val="Footnote Text Char"/>
    <w:aliases w:val="fn Char,footnotes Char,Footnote Text Char2 Char Char,Footnote Text Char Char1 Char Char,Footnote Text Char2 Char Char Char Char,Footnote Text Char1 Char Char Char Char Char,Footnote Text Char Char Char Char Char Char Char,5_G Char"/>
    <w:basedOn w:val="DefaultParagraphFont"/>
    <w:link w:val="FootnoteText"/>
    <w:rsid w:val="002F4C22"/>
  </w:style>
  <w:style w:type="character" w:styleId="FootnoteReference">
    <w:name w:val="footnote reference"/>
    <w:aliases w:val="Footnotes refss,Footnote Refernece,callout,Footnote Reference Superscript,Footnote Reference Number,BVI fnr, BVI fnr,4_G,Footnote number"/>
    <w:basedOn w:val="DefaultParagraphFont"/>
    <w:unhideWhenUsed/>
    <w:rsid w:val="002F4C22"/>
    <w:rPr>
      <w:vertAlign w:val="superscript"/>
    </w:rPr>
  </w:style>
  <w:style w:type="paragraph" w:customStyle="1" w:styleId="SingleTxt">
    <w:name w:val="__Single Txt"/>
    <w:basedOn w:val="Normal"/>
    <w:rsid w:val="007D2C6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rFonts w:ascii="Times New Roman" w:eastAsia="SimSun" w:hAnsi="Times New Roman" w:cs="Times New Roman"/>
      <w:spacing w:val="4"/>
      <w:w w:val="103"/>
      <w:kern w:val="14"/>
      <w:sz w:val="20"/>
      <w:szCs w:val="20"/>
      <w:lang w:val="fr-CA"/>
    </w:rPr>
  </w:style>
  <w:style w:type="paragraph" w:customStyle="1" w:styleId="Default">
    <w:name w:val="Default"/>
    <w:rsid w:val="007D2C62"/>
    <w:pPr>
      <w:autoSpaceDE w:val="0"/>
      <w:autoSpaceDN w:val="0"/>
      <w:adjustRightInd w:val="0"/>
    </w:pPr>
    <w:rPr>
      <w:rFonts w:ascii="Times New Roman" w:eastAsia="Times New Roman" w:hAnsi="Times New Roman" w:cs="Times New Roman"/>
      <w:color w:val="000000"/>
    </w:rPr>
  </w:style>
  <w:style w:type="paragraph" w:customStyle="1" w:styleId="msonormalcxspmiddlecxspmiddle">
    <w:name w:val="msonormalcxspmiddlecxspmiddle"/>
    <w:basedOn w:val="Normal"/>
    <w:rsid w:val="007D2C62"/>
    <w:pPr>
      <w:spacing w:before="100" w:beforeAutospacing="1" w:after="100" w:afterAutospacing="1"/>
    </w:pPr>
    <w:rPr>
      <w:rFonts w:ascii="Times New Roman" w:eastAsia="Times New Roman" w:hAnsi="Times New Roman" w:cs="Times New Roman"/>
    </w:rPr>
  </w:style>
  <w:style w:type="paragraph" w:customStyle="1" w:styleId="msonormalcxspmiddle">
    <w:name w:val="msonormalcxspmiddle"/>
    <w:basedOn w:val="Normal"/>
    <w:rsid w:val="001C41CC"/>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df"/><Relationship Id="rId8" Type="http://schemas.openxmlformats.org/officeDocument/2006/relationships/image" Target="media/image4.png"/><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1967</Words>
  <Characters>11212</Characters>
  <Application>Microsoft Macintosh Word</Application>
  <DocSecurity>0</DocSecurity>
  <Lines>93</Lines>
  <Paragraphs>22</Paragraphs>
  <ScaleCrop>false</ScaleCrop>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3</cp:revision>
  <dcterms:created xsi:type="dcterms:W3CDTF">2013-08-17T14:47:00Z</dcterms:created>
  <dcterms:modified xsi:type="dcterms:W3CDTF">2013-08-17T17:53:00Z</dcterms:modified>
</cp:coreProperties>
</file>