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C9007B" w:rsidRPr="00A800E0" w14:paraId="2C9ACA5E" w14:textId="77777777" w:rsidTr="005E08DF">
        <w:trPr>
          <w:cantSplit/>
          <w:trHeight w:hRule="exact" w:val="851"/>
        </w:trPr>
        <w:tc>
          <w:tcPr>
            <w:tcW w:w="1276" w:type="dxa"/>
            <w:tcBorders>
              <w:bottom w:val="single" w:sz="4" w:space="0" w:color="auto"/>
            </w:tcBorders>
            <w:vAlign w:val="bottom"/>
          </w:tcPr>
          <w:p w14:paraId="5A164D54" w14:textId="77777777" w:rsidR="00C9007B" w:rsidRPr="00A800E0" w:rsidRDefault="00C9007B" w:rsidP="005E08DF">
            <w:pPr>
              <w:spacing w:after="80"/>
            </w:pPr>
          </w:p>
        </w:tc>
        <w:tc>
          <w:tcPr>
            <w:tcW w:w="2268" w:type="dxa"/>
            <w:tcBorders>
              <w:bottom w:val="single" w:sz="4" w:space="0" w:color="auto"/>
            </w:tcBorders>
            <w:vAlign w:val="bottom"/>
          </w:tcPr>
          <w:p w14:paraId="24A17DE3" w14:textId="77777777" w:rsidR="00C9007B" w:rsidRPr="00A800E0" w:rsidRDefault="00C9007B" w:rsidP="005E08DF">
            <w:pPr>
              <w:spacing w:after="80" w:line="300" w:lineRule="exact"/>
              <w:rPr>
                <w:b/>
                <w:sz w:val="24"/>
                <w:szCs w:val="24"/>
              </w:rPr>
            </w:pPr>
            <w:r w:rsidRPr="00A800E0">
              <w:rPr>
                <w:sz w:val="28"/>
                <w:szCs w:val="28"/>
              </w:rPr>
              <w:t>United Nations</w:t>
            </w:r>
          </w:p>
        </w:tc>
        <w:tc>
          <w:tcPr>
            <w:tcW w:w="6095" w:type="dxa"/>
            <w:gridSpan w:val="2"/>
            <w:tcBorders>
              <w:bottom w:val="single" w:sz="4" w:space="0" w:color="auto"/>
            </w:tcBorders>
            <w:vAlign w:val="bottom"/>
          </w:tcPr>
          <w:p w14:paraId="6267364B" w14:textId="4950F903" w:rsidR="00C9007B" w:rsidRPr="00A800E0" w:rsidRDefault="00530913" w:rsidP="00530913">
            <w:pPr>
              <w:suppressAutoHyphens w:val="0"/>
              <w:spacing w:after="20"/>
              <w:jc w:val="right"/>
            </w:pPr>
            <w:r w:rsidRPr="00A800E0">
              <w:rPr>
                <w:sz w:val="40"/>
              </w:rPr>
              <w:t>CRPD</w:t>
            </w:r>
            <w:r w:rsidRPr="00A800E0">
              <w:t>/C/8</w:t>
            </w:r>
          </w:p>
        </w:tc>
      </w:tr>
      <w:tr w:rsidR="00C9007B" w:rsidRPr="00A800E0" w14:paraId="41F7FBCD" w14:textId="77777777" w:rsidTr="005E08DF">
        <w:trPr>
          <w:cantSplit/>
          <w:trHeight w:hRule="exact" w:val="2835"/>
        </w:trPr>
        <w:tc>
          <w:tcPr>
            <w:tcW w:w="1276" w:type="dxa"/>
            <w:tcBorders>
              <w:top w:val="single" w:sz="4" w:space="0" w:color="auto"/>
              <w:bottom w:val="single" w:sz="12" w:space="0" w:color="auto"/>
            </w:tcBorders>
          </w:tcPr>
          <w:p w14:paraId="495239EF" w14:textId="77777777" w:rsidR="00C9007B" w:rsidRPr="00A800E0" w:rsidRDefault="00C9007B" w:rsidP="005E08DF">
            <w:pPr>
              <w:spacing w:before="120"/>
              <w:jc w:val="center"/>
            </w:pPr>
            <w:r w:rsidRPr="00A800E0">
              <w:rPr>
                <w:noProof/>
                <w:lang w:eastAsia="fr-CH"/>
              </w:rPr>
              <w:drawing>
                <wp:inline distT="0" distB="0" distL="0" distR="0" wp14:anchorId="03ADF083" wp14:editId="7690FACD">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72857218" w14:textId="77777777" w:rsidR="00C9007B" w:rsidRPr="00A800E0" w:rsidRDefault="00C9007B" w:rsidP="005E08DF">
            <w:pPr>
              <w:spacing w:before="120" w:line="380" w:lineRule="exact"/>
              <w:rPr>
                <w:b/>
                <w:sz w:val="34"/>
                <w:szCs w:val="40"/>
              </w:rPr>
            </w:pPr>
            <w:r w:rsidRPr="00A800E0">
              <w:rPr>
                <w:b/>
                <w:sz w:val="34"/>
                <w:szCs w:val="40"/>
              </w:rPr>
              <w:t>Convention on the Rights</w:t>
            </w:r>
            <w:r w:rsidRPr="00A800E0">
              <w:rPr>
                <w:b/>
                <w:sz w:val="34"/>
                <w:szCs w:val="40"/>
              </w:rPr>
              <w:br/>
              <w:t>of Persons with Disabilities</w:t>
            </w:r>
          </w:p>
          <w:p w14:paraId="0476EE9F" w14:textId="77777777" w:rsidR="00C9007B" w:rsidRPr="00A800E0" w:rsidRDefault="00C9007B" w:rsidP="005E08DF">
            <w:pPr>
              <w:spacing w:before="120" w:line="420" w:lineRule="exact"/>
            </w:pPr>
          </w:p>
        </w:tc>
        <w:tc>
          <w:tcPr>
            <w:tcW w:w="2835" w:type="dxa"/>
            <w:tcBorders>
              <w:top w:val="single" w:sz="4" w:space="0" w:color="auto"/>
              <w:bottom w:val="single" w:sz="12" w:space="0" w:color="auto"/>
            </w:tcBorders>
          </w:tcPr>
          <w:p w14:paraId="5441B3AE" w14:textId="77777777" w:rsidR="00C9007B" w:rsidRPr="00A800E0" w:rsidRDefault="00530913" w:rsidP="00530913">
            <w:pPr>
              <w:spacing w:before="240"/>
            </w:pPr>
            <w:r w:rsidRPr="00A800E0">
              <w:t>Distr.: General</w:t>
            </w:r>
          </w:p>
          <w:p w14:paraId="5BC4B44E" w14:textId="589CD14E" w:rsidR="00530913" w:rsidRPr="00A800E0" w:rsidRDefault="00855E40" w:rsidP="00530913">
            <w:pPr>
              <w:suppressAutoHyphens w:val="0"/>
            </w:pPr>
            <w:r w:rsidRPr="00A800E0">
              <w:t>15</w:t>
            </w:r>
            <w:r w:rsidR="00530913" w:rsidRPr="00A800E0">
              <w:t xml:space="preserve"> October 2026</w:t>
            </w:r>
          </w:p>
          <w:p w14:paraId="2A9DFCB6" w14:textId="77777777" w:rsidR="00530913" w:rsidRPr="00A800E0" w:rsidRDefault="00530913" w:rsidP="00530913">
            <w:pPr>
              <w:suppressAutoHyphens w:val="0"/>
            </w:pPr>
          </w:p>
          <w:p w14:paraId="61ACEC74" w14:textId="062B9915" w:rsidR="00530913" w:rsidRPr="00A800E0" w:rsidRDefault="00530913" w:rsidP="00530913">
            <w:pPr>
              <w:suppressAutoHyphens w:val="0"/>
            </w:pPr>
            <w:r w:rsidRPr="00A800E0">
              <w:t>Original: English</w:t>
            </w:r>
          </w:p>
        </w:tc>
      </w:tr>
    </w:tbl>
    <w:p w14:paraId="6602E956" w14:textId="77777777" w:rsidR="00766FF5" w:rsidRPr="00A800E0" w:rsidRDefault="00766FF5" w:rsidP="00766FF5">
      <w:pPr>
        <w:spacing w:before="120"/>
        <w:rPr>
          <w:b/>
          <w:sz w:val="24"/>
        </w:rPr>
      </w:pPr>
      <w:r w:rsidRPr="00A800E0">
        <w:rPr>
          <w:b/>
          <w:sz w:val="24"/>
        </w:rPr>
        <w:t>Committee on the Rights of Persons with Disabilities</w:t>
      </w:r>
    </w:p>
    <w:p w14:paraId="18BE709F" w14:textId="77777777" w:rsidR="00766FF5" w:rsidRPr="00A800E0" w:rsidRDefault="00766FF5" w:rsidP="00766FF5">
      <w:pPr>
        <w:pStyle w:val="HChG"/>
        <w:rPr>
          <w:b w:val="0"/>
          <w:bCs/>
          <w:sz w:val="20"/>
          <w:szCs w:val="22"/>
        </w:rPr>
      </w:pPr>
      <w:r w:rsidRPr="00A800E0">
        <w:tab/>
      </w:r>
      <w:r w:rsidRPr="00A800E0">
        <w:tab/>
      </w:r>
      <w:r w:rsidRPr="00A800E0">
        <w:rPr>
          <w:bCs/>
        </w:rPr>
        <w:t>Guidelines on identifying and addressing disability-based violence</w:t>
      </w:r>
      <w:r w:rsidRPr="00A800E0">
        <w:rPr>
          <w:rStyle w:val="FootnoteReference"/>
          <w:b w:val="0"/>
          <w:bCs/>
          <w:sz w:val="20"/>
          <w:szCs w:val="22"/>
          <w:vertAlign w:val="baseline"/>
        </w:rPr>
        <w:footnoteReference w:customMarkFollows="1" w:id="1"/>
        <w:t>*</w:t>
      </w:r>
    </w:p>
    <w:p w14:paraId="5CF33836" w14:textId="00BE206F" w:rsidR="00766FF5" w:rsidRPr="00A800E0" w:rsidRDefault="00766FF5" w:rsidP="00766FF5">
      <w:pPr>
        <w:pStyle w:val="HChG"/>
        <w:rPr>
          <w:sz w:val="24"/>
          <w:szCs w:val="24"/>
        </w:rPr>
      </w:pPr>
      <w:r w:rsidRPr="00A800E0">
        <w:tab/>
        <w:t>I.</w:t>
      </w:r>
      <w:r w:rsidRPr="00A800E0">
        <w:tab/>
        <w:t>Disability-based violence</w:t>
      </w:r>
      <w:r w:rsidRPr="00A800E0">
        <w:rPr>
          <w:rStyle w:val="FootnoteReference"/>
          <w:b w:val="0"/>
          <w:bCs/>
        </w:rPr>
        <w:footnoteReference w:id="2"/>
      </w:r>
    </w:p>
    <w:p w14:paraId="79C04F26" w14:textId="66EB3DE6" w:rsidR="00766FF5" w:rsidRPr="00A800E0" w:rsidRDefault="006F0E17" w:rsidP="006F0E17">
      <w:pPr>
        <w:pStyle w:val="SingleTxtG"/>
      </w:pPr>
      <w:r w:rsidRPr="00A800E0">
        <w:rPr>
          <w:rFonts w:asciiTheme="majorBidi" w:hAnsiTheme="majorBidi" w:cstheme="majorBidi"/>
        </w:rPr>
        <w:t>1.</w:t>
      </w:r>
      <w:r w:rsidRPr="00A800E0">
        <w:rPr>
          <w:rFonts w:asciiTheme="majorBidi" w:hAnsiTheme="majorBidi" w:cstheme="majorBidi"/>
        </w:rPr>
        <w:tab/>
      </w:r>
      <w:r w:rsidR="00766FF5" w:rsidRPr="00A800E0">
        <w:t>Disability-based violence includes any act, omission, law, policy, custom, practice or social system that results in, or is likely to result in, physical, psychological, sexual, economic, social or bodily or mental harm to persons with disabilities on the basis of disability alone or in combination with other grounds. Disability-based violence may take interpersonal forms or structural forms, such as coercion in mental health, and may amount to torture or cruel, inhuman or degrading treatment. It may consist of a single act, repeated practices or conditions of deprivation or exclusion.</w:t>
      </w:r>
    </w:p>
    <w:p w14:paraId="61A95558" w14:textId="19A4C4AE" w:rsidR="00766FF5" w:rsidRPr="00A800E0" w:rsidRDefault="006F0E17" w:rsidP="006F0E17">
      <w:pPr>
        <w:pStyle w:val="SingleTxtG"/>
      </w:pPr>
      <w:r w:rsidRPr="00A800E0">
        <w:rPr>
          <w:rFonts w:asciiTheme="majorBidi" w:hAnsiTheme="majorBidi" w:cstheme="majorBidi"/>
        </w:rPr>
        <w:t>2.</w:t>
      </w:r>
      <w:r w:rsidRPr="00A800E0">
        <w:rPr>
          <w:rFonts w:asciiTheme="majorBidi" w:hAnsiTheme="majorBidi" w:cstheme="majorBidi"/>
        </w:rPr>
        <w:tab/>
      </w:r>
      <w:r w:rsidR="00766FF5" w:rsidRPr="00A800E0">
        <w:t>Disability-based violence represents a form of disability-based discrimination that violates the dignity and integrity of the person. Structural forms of discrimination normalize or exacerbate disability-based violence, including harmful practices against women and girls with disabilities.</w:t>
      </w:r>
      <w:r w:rsidR="00766FF5" w:rsidRPr="00A800E0">
        <w:rPr>
          <w:vertAlign w:val="superscript"/>
        </w:rPr>
        <w:footnoteReference w:id="3"/>
      </w:r>
      <w:r w:rsidR="00766FF5" w:rsidRPr="00A800E0">
        <w:t xml:space="preserve"> Disability-based violence is rooted in unequal power relations between persons with disabilities and others. Survey responses received in the context of the preparation of the present guidelines indicate that such violence is a common experience among persons with disabilities in their day-to-day lives, but it remains underdocumented and underreported. Violence may start in childhood or when a person acquires an impairment or is perceived to have one and may persist throughout the person</w:t>
      </w:r>
      <w:r w:rsidR="00441B88">
        <w:t>’</w:t>
      </w:r>
      <w:r w:rsidR="00766FF5" w:rsidRPr="00A800E0">
        <w:t>s life.</w:t>
      </w:r>
    </w:p>
    <w:p w14:paraId="383C0A94" w14:textId="3D9E65B9" w:rsidR="00766FF5" w:rsidRPr="00A800E0" w:rsidRDefault="006F0E17" w:rsidP="006F0E17">
      <w:pPr>
        <w:pStyle w:val="SingleTxtG"/>
      </w:pPr>
      <w:r w:rsidRPr="00A800E0">
        <w:rPr>
          <w:rFonts w:asciiTheme="majorBidi" w:hAnsiTheme="majorBidi" w:cstheme="majorBidi"/>
        </w:rPr>
        <w:t>3.</w:t>
      </w:r>
      <w:r w:rsidRPr="00A800E0">
        <w:rPr>
          <w:rFonts w:asciiTheme="majorBidi" w:hAnsiTheme="majorBidi" w:cstheme="majorBidi"/>
        </w:rPr>
        <w:tab/>
      </w:r>
      <w:r w:rsidR="00766FF5" w:rsidRPr="00A800E0">
        <w:t>Disability-based violence encompasses violence perpetrated, facilitated, condoned or legitimized by State authorities or private actors, including service providers and social systems. Some forms of disability-based violence include regimes of institutionalization, forced treatment, psychiatric violence and coercion in mental healthcare and support-related violence and harassment, neglect of children with disabilities,</w:t>
      </w:r>
      <w:r w:rsidR="00766FF5" w:rsidRPr="00A800E0">
        <w:rPr>
          <w:rStyle w:val="FootnoteReference"/>
        </w:rPr>
        <w:footnoteReference w:id="4"/>
      </w:r>
      <w:r w:rsidR="00766FF5" w:rsidRPr="00A800E0">
        <w:t xml:space="preserve"> and harmful practices against women and girls with disabilities.</w:t>
      </w:r>
      <w:r w:rsidR="00766FF5" w:rsidRPr="00A800E0">
        <w:rPr>
          <w:vertAlign w:val="superscript"/>
        </w:rPr>
        <w:footnoteReference w:id="5"/>
      </w:r>
    </w:p>
    <w:p w14:paraId="726EA209" w14:textId="6713D3C7" w:rsidR="00766FF5" w:rsidRPr="00A800E0" w:rsidRDefault="006F0E17" w:rsidP="006F0E17">
      <w:pPr>
        <w:pStyle w:val="SingleTxtG"/>
      </w:pPr>
      <w:r w:rsidRPr="00A800E0">
        <w:rPr>
          <w:rFonts w:asciiTheme="majorBidi" w:hAnsiTheme="majorBidi" w:cstheme="majorBidi"/>
        </w:rPr>
        <w:t>4.</w:t>
      </w:r>
      <w:r w:rsidRPr="00A800E0">
        <w:rPr>
          <w:rFonts w:asciiTheme="majorBidi" w:hAnsiTheme="majorBidi" w:cstheme="majorBidi"/>
        </w:rPr>
        <w:tab/>
      </w:r>
      <w:r w:rsidR="00766FF5" w:rsidRPr="00A800E0">
        <w:t>Disability-based violence often results in direct or indirect harm for persons with disabilities. It can be perpetrated intentionally through deliberate actions or can be the result of harm stemming from social inequalities embedded in discriminatory laws, policies or practices, with or without such intent.</w:t>
      </w:r>
      <w:r w:rsidR="00766FF5" w:rsidRPr="00A800E0">
        <w:rPr>
          <w:vertAlign w:val="superscript"/>
        </w:rPr>
        <w:footnoteReference w:id="6"/>
      </w:r>
    </w:p>
    <w:p w14:paraId="194B1E0C" w14:textId="1DE57B55" w:rsidR="00766FF5" w:rsidRPr="00A800E0" w:rsidRDefault="006F0E17" w:rsidP="006F0E17">
      <w:pPr>
        <w:pStyle w:val="SingleTxtG"/>
        <w:keepNext/>
        <w:rPr>
          <w:rFonts w:ascii="Aptos" w:hAnsi="Aptos" w:cs="Aptos"/>
          <w:b/>
          <w:bCs/>
        </w:rPr>
      </w:pPr>
      <w:r w:rsidRPr="00A800E0">
        <w:rPr>
          <w:rFonts w:asciiTheme="majorBidi" w:hAnsiTheme="majorBidi" w:cstheme="majorBidi"/>
        </w:rPr>
        <w:lastRenderedPageBreak/>
        <w:t>5.</w:t>
      </w:r>
      <w:r w:rsidRPr="00A800E0">
        <w:rPr>
          <w:rFonts w:asciiTheme="majorBidi" w:hAnsiTheme="majorBidi" w:cstheme="majorBidi"/>
        </w:rPr>
        <w:tab/>
      </w:r>
      <w:r w:rsidR="00766FF5" w:rsidRPr="00A800E0">
        <w:rPr>
          <w:b/>
          <w:bCs/>
        </w:rPr>
        <w:t>States Parties should:</w:t>
      </w:r>
    </w:p>
    <w:p w14:paraId="71CC5FB0" w14:textId="3FAD0CBB" w:rsidR="00766FF5" w:rsidRPr="00A800E0" w:rsidRDefault="00271A0D" w:rsidP="00271A0D">
      <w:pPr>
        <w:pStyle w:val="SingleTxtG"/>
        <w:rPr>
          <w:b/>
          <w:bCs/>
        </w:rPr>
      </w:pPr>
      <w:r w:rsidRPr="00A800E0">
        <w:tab/>
      </w:r>
      <w:r w:rsidR="00766FF5" w:rsidRPr="00A800E0">
        <w:t>(a)</w:t>
      </w:r>
      <w:r w:rsidR="00766FF5" w:rsidRPr="00A800E0">
        <w:rPr>
          <w:b/>
          <w:bCs/>
        </w:rPr>
        <w:tab/>
        <w:t>Recognize and end disability-based violence and eliminate its root causes, including ableism, societal prejudices and unequal power relations. These duties cannot be deferred by reference to progressive realization or resource constraints;</w:t>
      </w:r>
    </w:p>
    <w:p w14:paraId="487FDF05" w14:textId="6CCE26DD" w:rsidR="00766FF5" w:rsidRPr="00A800E0" w:rsidRDefault="00271A0D" w:rsidP="00271A0D">
      <w:pPr>
        <w:pStyle w:val="SingleTxtG"/>
        <w:rPr>
          <w:b/>
          <w:bCs/>
        </w:rPr>
      </w:pPr>
      <w:r w:rsidRPr="00A800E0">
        <w:tab/>
      </w:r>
      <w:r w:rsidR="00766FF5" w:rsidRPr="00A800E0">
        <w:t>(b)</w:t>
      </w:r>
      <w:r w:rsidR="00766FF5" w:rsidRPr="00A800E0">
        <w:rPr>
          <w:b/>
          <w:bCs/>
        </w:rPr>
        <w:tab/>
        <w:t>Ensure that persons with disabilities are closely consulted and actively involved in all public decision-making processes relating to identifying, addressing and combating disability-based violence;</w:t>
      </w:r>
    </w:p>
    <w:p w14:paraId="6C9B94DC" w14:textId="3BB5F0AF" w:rsidR="00766FF5" w:rsidRPr="00A800E0" w:rsidRDefault="00271A0D" w:rsidP="00271A0D">
      <w:pPr>
        <w:pStyle w:val="SingleTxtG"/>
      </w:pPr>
      <w:r w:rsidRPr="00A800E0">
        <w:tab/>
      </w:r>
      <w:r w:rsidR="00766FF5" w:rsidRPr="00A800E0">
        <w:t>(c)</w:t>
      </w:r>
      <w:r w:rsidR="00766FF5" w:rsidRPr="00A800E0">
        <w:rPr>
          <w:b/>
          <w:bCs/>
        </w:rPr>
        <w:tab/>
        <w:t xml:space="preserve">Collect information on disability-based violence, including violence in institutions, ensuring that data can be disaggregated by disability and other factors. Data collection should enable the identification of patterns of disability-based violence and its root causes and inform policymaking to address it. </w:t>
      </w:r>
    </w:p>
    <w:p w14:paraId="27AAB828" w14:textId="77777777" w:rsidR="00766FF5" w:rsidRPr="00A800E0" w:rsidRDefault="00766FF5" w:rsidP="00766FF5">
      <w:pPr>
        <w:pStyle w:val="HChG"/>
      </w:pPr>
      <w:r w:rsidRPr="00A800E0">
        <w:tab/>
        <w:t>II.</w:t>
      </w:r>
      <w:r w:rsidRPr="00A800E0">
        <w:tab/>
        <w:t>Purpose and process</w:t>
      </w:r>
    </w:p>
    <w:p w14:paraId="5B67904D" w14:textId="5AFFAEE5" w:rsidR="00766FF5" w:rsidRPr="00A800E0" w:rsidRDefault="006F0E17" w:rsidP="006F0E17">
      <w:pPr>
        <w:pStyle w:val="SingleTxtG"/>
      </w:pPr>
      <w:r w:rsidRPr="00A800E0">
        <w:rPr>
          <w:rFonts w:asciiTheme="majorBidi" w:hAnsiTheme="majorBidi" w:cstheme="majorBidi"/>
        </w:rPr>
        <w:t>6.</w:t>
      </w:r>
      <w:r w:rsidRPr="00A800E0">
        <w:rPr>
          <w:rFonts w:asciiTheme="majorBidi" w:hAnsiTheme="majorBidi" w:cstheme="majorBidi"/>
        </w:rPr>
        <w:tab/>
      </w:r>
      <w:r w:rsidR="00766FF5" w:rsidRPr="00A800E0">
        <w:t>The present document provides guidance for duty bearers on how to identify, address and end disability-based violence in line with their obligations under the Convention. The guidelines address violence affecting persons with disabilities, including its causes and forms, and barriers in pursuing effective access to justice.</w:t>
      </w:r>
    </w:p>
    <w:p w14:paraId="2F17B589" w14:textId="4FFDE9D0" w:rsidR="00766FF5" w:rsidRPr="00A800E0" w:rsidRDefault="006F0E17" w:rsidP="006F0E17">
      <w:pPr>
        <w:pStyle w:val="SingleTxtG"/>
      </w:pPr>
      <w:r w:rsidRPr="00A800E0">
        <w:rPr>
          <w:rFonts w:asciiTheme="majorBidi" w:hAnsiTheme="majorBidi" w:cstheme="majorBidi"/>
        </w:rPr>
        <w:t>7.</w:t>
      </w:r>
      <w:r w:rsidRPr="00A800E0">
        <w:rPr>
          <w:rFonts w:asciiTheme="majorBidi" w:hAnsiTheme="majorBidi" w:cstheme="majorBidi"/>
        </w:rPr>
        <w:tab/>
      </w:r>
      <w:r w:rsidR="00766FF5" w:rsidRPr="00A800E0">
        <w:t>In preparing the guidelines, the Committee drew upon its concluding observations (numbering 162 at the time of writing), general comments, guidelines on the right to liberty and security of persons with disabilities,</w:t>
      </w:r>
      <w:r w:rsidR="00766FF5" w:rsidRPr="00A800E0">
        <w:rPr>
          <w:vertAlign w:val="superscript"/>
        </w:rPr>
        <w:footnoteReference w:id="7"/>
      </w:r>
      <w:r w:rsidR="00766FF5" w:rsidRPr="00A800E0">
        <w:t xml:space="preserve"> guidelines on deinstitutionalization, including during emergencies</w:t>
      </w:r>
      <w:r w:rsidR="00766FF5" w:rsidRPr="00A800E0">
        <w:rPr>
          <w:vertAlign w:val="superscript"/>
        </w:rPr>
        <w:footnoteReference w:id="8"/>
      </w:r>
      <w:r w:rsidR="00766FF5" w:rsidRPr="00A800E0">
        <w:t xml:space="preserve"> and Views on individual communications, and the recommendations in its reports on inquiries. </w:t>
      </w:r>
    </w:p>
    <w:p w14:paraId="3B9C2143" w14:textId="6EC33B41" w:rsidR="00766FF5" w:rsidRPr="00A800E0" w:rsidRDefault="006F0E17" w:rsidP="006F0E17">
      <w:pPr>
        <w:pStyle w:val="SingleTxtG"/>
      </w:pPr>
      <w:r w:rsidRPr="00A800E0">
        <w:rPr>
          <w:rFonts w:asciiTheme="majorBidi" w:hAnsiTheme="majorBidi" w:cstheme="majorBidi"/>
        </w:rPr>
        <w:t>8.</w:t>
      </w:r>
      <w:r w:rsidRPr="00A800E0">
        <w:rPr>
          <w:rFonts w:asciiTheme="majorBidi" w:hAnsiTheme="majorBidi" w:cstheme="majorBidi"/>
        </w:rPr>
        <w:tab/>
      </w:r>
      <w:r w:rsidR="00766FF5" w:rsidRPr="00A800E0">
        <w:t>The process included a survey on disability-based violence,</w:t>
      </w:r>
      <w:r w:rsidR="00766FF5" w:rsidRPr="00A800E0">
        <w:rPr>
          <w:rStyle w:val="FootnoteReference"/>
          <w:rFonts w:cs="Aptos"/>
        </w:rPr>
        <w:footnoteReference w:id="9"/>
      </w:r>
      <w:r w:rsidR="00766FF5" w:rsidRPr="00A800E0">
        <w:rPr>
          <w:rFonts w:ascii="Aptos" w:hAnsi="Aptos" w:cs="Aptos"/>
        </w:rPr>
        <w:t xml:space="preserve"> </w:t>
      </w:r>
      <w:r w:rsidR="00766FF5" w:rsidRPr="00A800E0">
        <w:t>a technical consultation with stakeholders and a public call for written submissions.</w:t>
      </w:r>
      <w:r w:rsidR="00766FF5" w:rsidRPr="00A800E0">
        <w:rPr>
          <w:rStyle w:val="FootnoteReference"/>
        </w:rPr>
        <w:footnoteReference w:id="10"/>
      </w:r>
      <w:r w:rsidR="00766FF5" w:rsidRPr="00A800E0">
        <w:t xml:space="preserve"> The survey was available in accessible formats. The analysis is based on 767 responses, which contained descriptions of violence experienced by respondents, their relatives or peers.</w:t>
      </w:r>
      <w:r w:rsidR="00DE4F13" w:rsidRPr="00A800E0">
        <w:t xml:space="preserve"> </w:t>
      </w:r>
    </w:p>
    <w:p w14:paraId="6FB4CEAB" w14:textId="33A64189" w:rsidR="00766FF5" w:rsidRPr="00A800E0" w:rsidRDefault="006F0E17" w:rsidP="006F0E17">
      <w:pPr>
        <w:pStyle w:val="SingleTxtG"/>
      </w:pPr>
      <w:r w:rsidRPr="00A800E0">
        <w:rPr>
          <w:rFonts w:asciiTheme="majorBidi" w:hAnsiTheme="majorBidi" w:cstheme="majorBidi"/>
        </w:rPr>
        <w:t>9.</w:t>
      </w:r>
      <w:r w:rsidRPr="00A800E0">
        <w:rPr>
          <w:rFonts w:asciiTheme="majorBidi" w:hAnsiTheme="majorBidi" w:cstheme="majorBidi"/>
        </w:rPr>
        <w:tab/>
      </w:r>
      <w:r w:rsidR="00766FF5" w:rsidRPr="00A800E0">
        <w:t xml:space="preserve">States Parties, national human rights institutions, independent monitoring bodies, regional bodies, research centres, organizations of persons with disabilities, including organizations of survivors of psychiatry, and other civil society organizations provided input. </w:t>
      </w:r>
    </w:p>
    <w:p w14:paraId="06697355" w14:textId="77777777" w:rsidR="00766FF5" w:rsidRPr="00A800E0" w:rsidRDefault="00766FF5" w:rsidP="00766FF5">
      <w:pPr>
        <w:pStyle w:val="HChG"/>
      </w:pPr>
      <w:r w:rsidRPr="00A800E0">
        <w:tab/>
        <w:t>III.</w:t>
      </w:r>
      <w:r w:rsidRPr="00A800E0">
        <w:tab/>
        <w:t>Manifestations of disability-based violence</w:t>
      </w:r>
    </w:p>
    <w:p w14:paraId="167A2513" w14:textId="77777777" w:rsidR="00766FF5" w:rsidRPr="00A800E0" w:rsidRDefault="00766FF5" w:rsidP="00766FF5">
      <w:pPr>
        <w:pStyle w:val="H1G"/>
        <w:ind w:left="0" w:firstLine="0"/>
      </w:pPr>
      <w:r w:rsidRPr="00A800E0">
        <w:tab/>
        <w:t>A.</w:t>
      </w:r>
      <w:r w:rsidRPr="00A800E0">
        <w:tab/>
        <w:t>Multidimensional causes</w:t>
      </w:r>
    </w:p>
    <w:p w14:paraId="66ED0F49" w14:textId="77777777" w:rsidR="00766FF5" w:rsidRPr="00A800E0" w:rsidRDefault="00766FF5" w:rsidP="00766FF5">
      <w:pPr>
        <w:pStyle w:val="H23G"/>
      </w:pPr>
      <w:r w:rsidRPr="00A800E0">
        <w:tab/>
        <w:t>1.</w:t>
      </w:r>
      <w:r w:rsidRPr="00A800E0">
        <w:tab/>
        <w:t xml:space="preserve">Legislation, policies and practices perpetuating violence </w:t>
      </w:r>
    </w:p>
    <w:p w14:paraId="2F704501" w14:textId="0976F51E" w:rsidR="00766FF5" w:rsidRPr="00A800E0" w:rsidRDefault="006F0E17" w:rsidP="006F0E17">
      <w:pPr>
        <w:pStyle w:val="SingleTxtG"/>
      </w:pPr>
      <w:r w:rsidRPr="00A800E0">
        <w:rPr>
          <w:rFonts w:asciiTheme="majorBidi" w:hAnsiTheme="majorBidi" w:cstheme="majorBidi"/>
        </w:rPr>
        <w:t>10.</w:t>
      </w:r>
      <w:r w:rsidRPr="00A800E0">
        <w:rPr>
          <w:rFonts w:asciiTheme="majorBidi" w:hAnsiTheme="majorBidi" w:cstheme="majorBidi"/>
        </w:rPr>
        <w:tab/>
      </w:r>
      <w:r w:rsidR="00766FF5" w:rsidRPr="00A800E0">
        <w:t>Legislation, policies and practices, including customary practices, remain anchored in the medical model and protectionist and paternalistic approaches to disability, and often result in, or are used to justify, disability-based violence.</w:t>
      </w:r>
      <w:r w:rsidR="00766FF5" w:rsidRPr="00A800E0">
        <w:rPr>
          <w:rStyle w:val="FootnoteReference"/>
        </w:rPr>
        <w:footnoteReference w:id="11"/>
      </w:r>
      <w:r w:rsidR="00766FF5" w:rsidRPr="00A800E0">
        <w:t xml:space="preserve"> They usually perpetuate discriminatory systems, including guardianship, as well as coercion and exclusion. </w:t>
      </w:r>
    </w:p>
    <w:p w14:paraId="0113F6E8" w14:textId="3E6BECEE" w:rsidR="00766FF5" w:rsidRPr="00A800E0" w:rsidRDefault="006F0E17" w:rsidP="006F0E17">
      <w:pPr>
        <w:pStyle w:val="SingleTxtG"/>
      </w:pPr>
      <w:r w:rsidRPr="00A800E0">
        <w:rPr>
          <w:rFonts w:asciiTheme="majorBidi" w:hAnsiTheme="majorBidi" w:cstheme="majorBidi"/>
        </w:rPr>
        <w:t>11.</w:t>
      </w:r>
      <w:r w:rsidRPr="00A800E0">
        <w:rPr>
          <w:rFonts w:asciiTheme="majorBidi" w:hAnsiTheme="majorBidi" w:cstheme="majorBidi"/>
        </w:rPr>
        <w:tab/>
      </w:r>
      <w:r w:rsidR="00766FF5" w:rsidRPr="00A800E0">
        <w:t xml:space="preserve">Guardianship and other forms of substitute decision-making intensify disability-based violence. Legislation, policies and practices authorizing institutionalization, involuntary committal, forced treatment and forced medication based on actual or perceived impairment, particularly in relation to mental health, which are incompatible with articles 12, 14, 15, 16 </w:t>
      </w:r>
      <w:r w:rsidR="00766FF5" w:rsidRPr="00A800E0">
        <w:lastRenderedPageBreak/>
        <w:t>and 17 of the Convention, also lead to disability-based violence.</w:t>
      </w:r>
      <w:r w:rsidR="00766FF5" w:rsidRPr="00A800E0">
        <w:rPr>
          <w:rStyle w:val="FootnoteReference"/>
        </w:rPr>
        <w:footnoteReference w:id="12"/>
      </w:r>
      <w:r w:rsidR="00766FF5" w:rsidRPr="00A800E0">
        <w:t xml:space="preserve"> In such contexts, violence is often presented as care, treatment, protection, discipline or risk management.</w:t>
      </w:r>
    </w:p>
    <w:p w14:paraId="75F3D6F4" w14:textId="7744D098" w:rsidR="00766FF5" w:rsidRPr="00A800E0" w:rsidRDefault="006F0E17" w:rsidP="006F0E17">
      <w:pPr>
        <w:pStyle w:val="SingleTxtG"/>
        <w:rPr>
          <w:b/>
          <w:bCs/>
        </w:rPr>
      </w:pPr>
      <w:r w:rsidRPr="00A800E0">
        <w:rPr>
          <w:rFonts w:asciiTheme="majorBidi" w:hAnsiTheme="majorBidi" w:cstheme="majorBidi"/>
        </w:rPr>
        <w:t>12.</w:t>
      </w:r>
      <w:r w:rsidRPr="00A800E0">
        <w:rPr>
          <w:rFonts w:asciiTheme="majorBidi" w:hAnsiTheme="majorBidi" w:cstheme="majorBidi"/>
        </w:rPr>
        <w:tab/>
      </w:r>
      <w:r w:rsidR="00766FF5" w:rsidRPr="00A800E0">
        <w:rPr>
          <w:b/>
          <w:bCs/>
        </w:rPr>
        <w:t>States Parties should ensure that legislation, public policies and practices are anchored on the human rights model of disability, and should:</w:t>
      </w:r>
    </w:p>
    <w:p w14:paraId="268A4315" w14:textId="350EF60C" w:rsidR="00766FF5" w:rsidRPr="00A800E0" w:rsidRDefault="00B2682C" w:rsidP="00B2682C">
      <w:pPr>
        <w:pStyle w:val="SingleTxtG"/>
        <w:rPr>
          <w:b/>
          <w:bCs/>
        </w:rPr>
      </w:pPr>
      <w:r w:rsidRPr="00A800E0">
        <w:tab/>
      </w:r>
      <w:r w:rsidR="00766FF5" w:rsidRPr="00A800E0">
        <w:t>(a)</w:t>
      </w:r>
      <w:r w:rsidR="00766FF5" w:rsidRPr="00A800E0">
        <w:rPr>
          <w:b/>
          <w:bCs/>
        </w:rPr>
        <w:tab/>
        <w:t xml:space="preserve">Review and reform legislation and policies and repeal those regimes that perpetuate disability-based discrimination, and ensure the protection of persons with disabilities against violence and violations of personal integrity, including torture and ill-treatment; </w:t>
      </w:r>
    </w:p>
    <w:p w14:paraId="213C45FC" w14:textId="1A01FEE2" w:rsidR="00766FF5" w:rsidRPr="00A800E0" w:rsidRDefault="00B2682C" w:rsidP="00B2682C">
      <w:pPr>
        <w:pStyle w:val="SingleTxtG"/>
        <w:rPr>
          <w:b/>
          <w:bCs/>
        </w:rPr>
      </w:pPr>
      <w:r w:rsidRPr="00A800E0">
        <w:tab/>
      </w:r>
      <w:r w:rsidR="00766FF5" w:rsidRPr="00A800E0">
        <w:t>(b)</w:t>
      </w:r>
      <w:r w:rsidR="00766FF5" w:rsidRPr="00A800E0">
        <w:rPr>
          <w:b/>
          <w:bCs/>
        </w:rPr>
        <w:tab/>
        <w:t>End practices that perpetuate detention, forced institutionalization, forced treatment and other coercive measures on the basis of disability, and repeal or suspend the discriminatory laws, policies, contracts and administrative arrangements that sustain them;</w:t>
      </w:r>
    </w:p>
    <w:p w14:paraId="2055A7B8" w14:textId="599BD361" w:rsidR="00766FF5" w:rsidRPr="00A800E0" w:rsidRDefault="00B2682C" w:rsidP="00B2682C">
      <w:pPr>
        <w:pStyle w:val="SingleTxtG"/>
        <w:rPr>
          <w:b/>
          <w:bCs/>
        </w:rPr>
      </w:pPr>
      <w:r w:rsidRPr="00A800E0">
        <w:tab/>
      </w:r>
      <w:r w:rsidR="00766FF5" w:rsidRPr="00A800E0">
        <w:t>(c)</w:t>
      </w:r>
      <w:r w:rsidR="00766FF5" w:rsidRPr="00A800E0">
        <w:rPr>
          <w:b/>
          <w:bCs/>
        </w:rPr>
        <w:tab/>
        <w:t>Ensure that anti-discrimination legislation and equality policies and strategies include measures to address all forms of violence against persons with disabilities, including on intersectional grounds, in both the public and private spheres.</w:t>
      </w:r>
    </w:p>
    <w:p w14:paraId="11100926" w14:textId="77777777" w:rsidR="00766FF5" w:rsidRPr="00A800E0" w:rsidRDefault="00766FF5" w:rsidP="00766FF5">
      <w:pPr>
        <w:pStyle w:val="H23G"/>
      </w:pPr>
      <w:r w:rsidRPr="00A800E0">
        <w:tab/>
        <w:t>2.</w:t>
      </w:r>
      <w:r w:rsidRPr="00A800E0">
        <w:tab/>
        <w:t>Ableism, stereotypes and prejudices</w:t>
      </w:r>
    </w:p>
    <w:p w14:paraId="2F3BBF56" w14:textId="71410080" w:rsidR="00766FF5" w:rsidRPr="00A800E0" w:rsidRDefault="006F0E17" w:rsidP="006F0E17">
      <w:pPr>
        <w:pStyle w:val="SingleTxtG"/>
      </w:pPr>
      <w:r w:rsidRPr="00A800E0">
        <w:rPr>
          <w:rFonts w:asciiTheme="majorBidi" w:hAnsiTheme="majorBidi" w:cstheme="majorBidi"/>
        </w:rPr>
        <w:t>13.</w:t>
      </w:r>
      <w:r w:rsidRPr="00A800E0">
        <w:rPr>
          <w:rFonts w:asciiTheme="majorBidi" w:hAnsiTheme="majorBidi" w:cstheme="majorBidi"/>
        </w:rPr>
        <w:tab/>
      </w:r>
      <w:r w:rsidR="00766FF5" w:rsidRPr="00A800E0">
        <w:t>Disability-based violence usually stems from and is justified by ableism and related stigma and stereotypes, the medical model of disability and the portrayal of persons with disabilities as dangerous to themselves or others.</w:t>
      </w:r>
      <w:r w:rsidR="00766FF5" w:rsidRPr="00A800E0">
        <w:rPr>
          <w:vertAlign w:val="superscript"/>
        </w:rPr>
        <w:footnoteReference w:id="13"/>
      </w:r>
      <w:r w:rsidR="00DE4F13" w:rsidRPr="00A800E0">
        <w:t xml:space="preserve"> </w:t>
      </w:r>
    </w:p>
    <w:p w14:paraId="2228197D" w14:textId="3E971452" w:rsidR="00766FF5" w:rsidRPr="00A800E0" w:rsidRDefault="006F0E17" w:rsidP="006F0E17">
      <w:pPr>
        <w:pStyle w:val="SingleTxtG"/>
      </w:pPr>
      <w:r w:rsidRPr="00A800E0">
        <w:rPr>
          <w:rFonts w:asciiTheme="majorBidi" w:hAnsiTheme="majorBidi" w:cstheme="majorBidi"/>
        </w:rPr>
        <w:t>14.</w:t>
      </w:r>
      <w:r w:rsidRPr="00A800E0">
        <w:rPr>
          <w:rFonts w:asciiTheme="majorBidi" w:hAnsiTheme="majorBidi" w:cstheme="majorBidi"/>
        </w:rPr>
        <w:tab/>
      </w:r>
      <w:r w:rsidR="00766FF5" w:rsidRPr="00A800E0">
        <w:t>Ableism, which assumes that living a life of value is only possible with certain standards of body or mind, leads to prejudice and violence against persons with disabilities,</w:t>
      </w:r>
      <w:r w:rsidR="00766FF5" w:rsidRPr="00A800E0">
        <w:rPr>
          <w:rStyle w:val="FootnoteReference"/>
        </w:rPr>
        <w:footnoteReference w:id="14"/>
      </w:r>
      <w:r w:rsidR="00766FF5" w:rsidRPr="00A800E0">
        <w:t xml:space="preserve"> labelling them as incapable, dependent, dangerous, burdensome or in need of control. Ableism exacerbates discrimination through the coercion, overprotection, abuse and neglect of persons with disabilities who are considered not in conformity with expectations of appearance, healthiness, behaviour, decision-making or social participation. The social marking of persons with disabilities further reinforces stereotypes and contributes to the normalization and justification of violence.</w:t>
      </w:r>
    </w:p>
    <w:p w14:paraId="7766A2AE" w14:textId="57FF21ED" w:rsidR="00766FF5" w:rsidRPr="00A800E0" w:rsidRDefault="006F0E17" w:rsidP="006F0E17">
      <w:pPr>
        <w:pStyle w:val="SingleTxtG"/>
      </w:pPr>
      <w:r w:rsidRPr="00A800E0">
        <w:rPr>
          <w:rFonts w:asciiTheme="majorBidi" w:hAnsiTheme="majorBidi" w:cstheme="majorBidi"/>
        </w:rPr>
        <w:t>15.</w:t>
      </w:r>
      <w:r w:rsidRPr="00A800E0">
        <w:rPr>
          <w:rFonts w:asciiTheme="majorBidi" w:hAnsiTheme="majorBidi" w:cstheme="majorBidi"/>
        </w:rPr>
        <w:tab/>
      </w:r>
      <w:r w:rsidR="00766FF5" w:rsidRPr="00A800E0">
        <w:t>Superstitions that consider impairment to be a curse, punishment or karma often lead to killings, abuse, gross neglect, lifelong exclusion from the community and isolation of persons with disabilities, including children with disabilities, persons with psychosocial disabilities and women with hearing impairments.</w:t>
      </w:r>
      <w:r w:rsidR="00766FF5" w:rsidRPr="00A800E0">
        <w:rPr>
          <w:rStyle w:val="FootnoteReference"/>
        </w:rPr>
        <w:footnoteReference w:id="15"/>
      </w:r>
      <w:r w:rsidR="00766FF5" w:rsidRPr="00A800E0">
        <w:rPr>
          <w:vertAlign w:val="superscript"/>
        </w:rPr>
        <w:t xml:space="preserve"> </w:t>
      </w:r>
    </w:p>
    <w:p w14:paraId="377BD7FC" w14:textId="2437326A" w:rsidR="00766FF5" w:rsidRPr="00A800E0" w:rsidRDefault="006F0E17" w:rsidP="006F0E17">
      <w:pPr>
        <w:pStyle w:val="SingleTxtG"/>
      </w:pPr>
      <w:r w:rsidRPr="00A800E0">
        <w:rPr>
          <w:rFonts w:asciiTheme="majorBidi" w:hAnsiTheme="majorBidi" w:cstheme="majorBidi"/>
        </w:rPr>
        <w:t>16.</w:t>
      </w:r>
      <w:r w:rsidRPr="00A800E0">
        <w:rPr>
          <w:rFonts w:asciiTheme="majorBidi" w:hAnsiTheme="majorBidi" w:cstheme="majorBidi"/>
        </w:rPr>
        <w:tab/>
      </w:r>
      <w:r w:rsidR="00766FF5" w:rsidRPr="00A800E0">
        <w:t>Paternalist and protectionist approaches in society justify disability-based violence and make it</w:t>
      </w:r>
      <w:r w:rsidR="00DE4F13" w:rsidRPr="00A800E0">
        <w:t xml:space="preserve"> </w:t>
      </w:r>
      <w:r w:rsidR="00766FF5" w:rsidRPr="00A800E0">
        <w:t>challenging to report, especially where the person depends on the decision maker, family member, guardian or caregiver for support, housing, communication, survival or access to services.</w:t>
      </w:r>
    </w:p>
    <w:p w14:paraId="2519B23E" w14:textId="3F9E61FC" w:rsidR="00766FF5" w:rsidRPr="00A800E0" w:rsidRDefault="006F0E17" w:rsidP="006F0E17">
      <w:pPr>
        <w:pStyle w:val="SingleTxtG"/>
        <w:rPr>
          <w:b/>
          <w:bCs/>
        </w:rPr>
      </w:pPr>
      <w:r w:rsidRPr="00A800E0">
        <w:rPr>
          <w:rFonts w:asciiTheme="majorBidi" w:hAnsiTheme="majorBidi" w:cstheme="majorBidi"/>
        </w:rPr>
        <w:t>17.</w:t>
      </w:r>
      <w:r w:rsidRPr="00A800E0">
        <w:rPr>
          <w:rFonts w:asciiTheme="majorBidi" w:hAnsiTheme="majorBidi" w:cstheme="majorBidi"/>
        </w:rPr>
        <w:tab/>
      </w:r>
      <w:r w:rsidR="00766FF5" w:rsidRPr="00A800E0">
        <w:rPr>
          <w:b/>
          <w:bCs/>
        </w:rPr>
        <w:t>Recalling the Committee</w:t>
      </w:r>
      <w:r w:rsidR="00441B88">
        <w:rPr>
          <w:b/>
          <w:bCs/>
        </w:rPr>
        <w:t>’</w:t>
      </w:r>
      <w:r w:rsidR="00766FF5" w:rsidRPr="00A800E0">
        <w:rPr>
          <w:b/>
          <w:bCs/>
        </w:rPr>
        <w:t>s general comment No. 6 (2018), the Committee recommends that States Parties ensure inclusive equality and:</w:t>
      </w:r>
    </w:p>
    <w:p w14:paraId="65D7CA3D" w14:textId="6CCB1825" w:rsidR="00766FF5" w:rsidRPr="00A800E0" w:rsidRDefault="00AC53BF" w:rsidP="00AC53BF">
      <w:pPr>
        <w:pStyle w:val="SingleTxtG"/>
        <w:rPr>
          <w:b/>
          <w:bCs/>
        </w:rPr>
      </w:pPr>
      <w:r w:rsidRPr="00A800E0">
        <w:tab/>
      </w:r>
      <w:r w:rsidR="00766FF5" w:rsidRPr="00A800E0">
        <w:t>(a)</w:t>
      </w:r>
      <w:r w:rsidR="00766FF5" w:rsidRPr="00A800E0">
        <w:rPr>
          <w:b/>
          <w:bCs/>
        </w:rPr>
        <w:tab/>
        <w:t>Combat ableism, disability-based stigma, stereotypes and prejudices and practices that create power imbalances and perpetuate discrimination and disability</w:t>
      </w:r>
      <w:r w:rsidRPr="00A800E0">
        <w:rPr>
          <w:b/>
          <w:bCs/>
        </w:rPr>
        <w:noBreakHyphen/>
      </w:r>
      <w:r w:rsidR="00766FF5" w:rsidRPr="00A800E0">
        <w:rPr>
          <w:b/>
          <w:bCs/>
        </w:rPr>
        <w:t xml:space="preserve">based violence, together with other intersecting forms of discrimination, including gender-based discrimination, through policy reforms, training of public officials and service providers, inclusive education and disability-inclusive media guidance; </w:t>
      </w:r>
    </w:p>
    <w:p w14:paraId="22767E92" w14:textId="2C7EAAD4" w:rsidR="00766FF5" w:rsidRPr="00A800E0" w:rsidRDefault="00AC53BF" w:rsidP="00AC53BF">
      <w:pPr>
        <w:pStyle w:val="SingleTxtG"/>
        <w:rPr>
          <w:b/>
          <w:bCs/>
        </w:rPr>
      </w:pPr>
      <w:r w:rsidRPr="00A800E0">
        <w:tab/>
      </w:r>
      <w:r w:rsidR="00766FF5" w:rsidRPr="00A800E0">
        <w:t>(b)</w:t>
      </w:r>
      <w:r w:rsidR="00766FF5" w:rsidRPr="00A800E0">
        <w:rPr>
          <w:b/>
          <w:bCs/>
        </w:rPr>
        <w:tab/>
        <w:t>Eradicate practices that exert control over the lives of persons with disabilities, including in support relationships;</w:t>
      </w:r>
    </w:p>
    <w:p w14:paraId="36E27CE8" w14:textId="6F156863" w:rsidR="00766FF5" w:rsidRPr="00A800E0" w:rsidRDefault="00AC53BF" w:rsidP="00AC53BF">
      <w:pPr>
        <w:pStyle w:val="SingleTxtG"/>
        <w:rPr>
          <w:b/>
          <w:bCs/>
        </w:rPr>
      </w:pPr>
      <w:r w:rsidRPr="00A800E0">
        <w:tab/>
      </w:r>
      <w:r w:rsidR="00766FF5" w:rsidRPr="00A800E0">
        <w:t>(c)</w:t>
      </w:r>
      <w:r w:rsidR="00766FF5" w:rsidRPr="00A800E0">
        <w:rPr>
          <w:rFonts w:ascii="Aptos" w:hAnsi="Aptos" w:cs="Aptos"/>
          <w:b/>
          <w:bCs/>
        </w:rPr>
        <w:tab/>
      </w:r>
      <w:r w:rsidR="00766FF5" w:rsidRPr="00A800E0">
        <w:rPr>
          <w:b/>
          <w:bCs/>
        </w:rPr>
        <w:t xml:space="preserve">Ensure that persons with disabilities, including persons with intellectual disabilities and persons with psychosocial disabilities, have access to accessible and </w:t>
      </w:r>
      <w:r w:rsidR="00766FF5" w:rsidRPr="00A800E0">
        <w:rPr>
          <w:b/>
          <w:bCs/>
        </w:rPr>
        <w:lastRenderedPageBreak/>
        <w:t>age</w:t>
      </w:r>
      <w:r w:rsidRPr="00A800E0">
        <w:rPr>
          <w:b/>
          <w:bCs/>
        </w:rPr>
        <w:noBreakHyphen/>
      </w:r>
      <w:r w:rsidR="00766FF5" w:rsidRPr="00A800E0">
        <w:rPr>
          <w:b/>
          <w:bCs/>
        </w:rPr>
        <w:t>appropriate information and skills-based education, tailored to their requirements, that enable them to recognize violence, abuse and exploitation, including forms presented as care, protection or support</w:t>
      </w:r>
      <w:r w:rsidR="006C0FEF">
        <w:rPr>
          <w:b/>
          <w:bCs/>
        </w:rPr>
        <w:t>;</w:t>
      </w:r>
    </w:p>
    <w:p w14:paraId="29DEB044" w14:textId="1EEBF8CF" w:rsidR="00766FF5" w:rsidRPr="00A800E0" w:rsidRDefault="00922AEA" w:rsidP="00922AEA">
      <w:pPr>
        <w:pStyle w:val="SingleTxtG"/>
        <w:rPr>
          <w:b/>
          <w:bCs/>
        </w:rPr>
      </w:pPr>
      <w:r w:rsidRPr="00A800E0">
        <w:tab/>
      </w:r>
      <w:r w:rsidR="00766FF5" w:rsidRPr="00A800E0">
        <w:t>(d)</w:t>
      </w:r>
      <w:r w:rsidR="00766FF5" w:rsidRPr="00A800E0">
        <w:tab/>
      </w:r>
      <w:r w:rsidR="00766FF5" w:rsidRPr="00A800E0">
        <w:rPr>
          <w:b/>
          <w:bCs/>
        </w:rPr>
        <w:t>Ensure that persons with disabilities are empowered, including through training and the strengthening of self-advocacy structures,</w:t>
      </w:r>
      <w:r w:rsidR="00766FF5" w:rsidRPr="00A800E0" w:rsidDel="00CD0CEF">
        <w:rPr>
          <w:b/>
          <w:bCs/>
        </w:rPr>
        <w:t xml:space="preserve"> </w:t>
      </w:r>
      <w:r w:rsidR="00766FF5" w:rsidRPr="00A800E0">
        <w:rPr>
          <w:b/>
          <w:bCs/>
        </w:rPr>
        <w:t xml:space="preserve">to recognize unsafe situations, understand their rights, identify trusted persons and support services, communicate concerns and seek help through accessible and confidential reporting mechanisms; </w:t>
      </w:r>
    </w:p>
    <w:p w14:paraId="5F1CEE54" w14:textId="5DB4CFA0" w:rsidR="00766FF5" w:rsidRPr="00A800E0" w:rsidRDefault="00922AEA" w:rsidP="00922AEA">
      <w:pPr>
        <w:pStyle w:val="SingleTxtG"/>
        <w:rPr>
          <w:b/>
          <w:bCs/>
        </w:rPr>
      </w:pPr>
      <w:r w:rsidRPr="00A800E0">
        <w:tab/>
      </w:r>
      <w:r w:rsidR="00766FF5" w:rsidRPr="00A800E0">
        <w:t>(e)</w:t>
      </w:r>
      <w:r w:rsidR="00766FF5" w:rsidRPr="00A800E0">
        <w:tab/>
      </w:r>
      <w:r w:rsidR="00766FF5" w:rsidRPr="00A800E0">
        <w:rPr>
          <w:b/>
          <w:bCs/>
        </w:rPr>
        <w:t xml:space="preserve">Raise awareness among, and promote the accountability of, public and private actors regarding practices that normalize disability-based violence. </w:t>
      </w:r>
    </w:p>
    <w:p w14:paraId="73EFED3F" w14:textId="77777777" w:rsidR="00766FF5" w:rsidRPr="00A800E0" w:rsidRDefault="00766FF5" w:rsidP="00766FF5">
      <w:pPr>
        <w:pStyle w:val="H1G"/>
      </w:pPr>
      <w:r w:rsidRPr="00A800E0">
        <w:tab/>
        <w:t>B.</w:t>
      </w:r>
      <w:r w:rsidRPr="00A800E0">
        <w:tab/>
        <w:t>Manifestation of violence in multiple contexts</w:t>
      </w:r>
    </w:p>
    <w:p w14:paraId="566D76D5" w14:textId="1EAA6932" w:rsidR="00766FF5" w:rsidRPr="00A800E0" w:rsidRDefault="006F0E17" w:rsidP="006F0E17">
      <w:pPr>
        <w:pStyle w:val="SingleTxtG"/>
      </w:pPr>
      <w:r w:rsidRPr="00A800E0">
        <w:rPr>
          <w:rFonts w:asciiTheme="majorBidi" w:hAnsiTheme="majorBidi" w:cstheme="majorBidi"/>
        </w:rPr>
        <w:t>18.</w:t>
      </w:r>
      <w:r w:rsidRPr="00A800E0">
        <w:rPr>
          <w:rFonts w:asciiTheme="majorBidi" w:hAnsiTheme="majorBidi" w:cstheme="majorBidi"/>
        </w:rPr>
        <w:tab/>
      </w:r>
      <w:r w:rsidR="00766FF5" w:rsidRPr="00A800E0">
        <w:t xml:space="preserve">Disability-based violence may occur in public or private spheres, including in online environments. The risk and impact of violence against persons with disabilities is exacerbated by social, economic and cultural factors, particularly in contexts where persons with disabilities are isolated or segregated from the community or marginalized. </w:t>
      </w:r>
    </w:p>
    <w:p w14:paraId="4074A76A" w14:textId="0648B4F4" w:rsidR="00766FF5" w:rsidRPr="00A800E0" w:rsidRDefault="006F0E17" w:rsidP="006F0E17">
      <w:pPr>
        <w:pStyle w:val="SingleTxtG"/>
      </w:pPr>
      <w:r w:rsidRPr="00A800E0">
        <w:rPr>
          <w:rFonts w:asciiTheme="majorBidi" w:hAnsiTheme="majorBidi" w:cstheme="majorBidi"/>
        </w:rPr>
        <w:t>19.</w:t>
      </w:r>
      <w:r w:rsidRPr="00A800E0">
        <w:rPr>
          <w:rFonts w:asciiTheme="majorBidi" w:hAnsiTheme="majorBidi" w:cstheme="majorBidi"/>
        </w:rPr>
        <w:tab/>
      </w:r>
      <w:r w:rsidR="00766FF5" w:rsidRPr="00A800E0">
        <w:t>Violence occurs in urban, rural and remote areas, institutional settings,</w:t>
      </w:r>
      <w:r w:rsidR="00766FF5" w:rsidRPr="00A800E0">
        <w:rPr>
          <w:vertAlign w:val="superscript"/>
        </w:rPr>
        <w:footnoteReference w:id="16"/>
      </w:r>
      <w:r w:rsidR="00766FF5" w:rsidRPr="00A800E0">
        <w:t xml:space="preserve"> sheltered workshops, places of detention, migration facilities, internally displacement camps and emergency shelters during humanitarian emergencies and armed conflict. It manifests in the home, at the workplace, in public spaces, such as streets, parks, transport stations and grocery stores, in public and private schools and other educational settings at all levels of education, in healthcare facilities, and in digital space.</w:t>
      </w:r>
      <w:r w:rsidR="00DE4F13" w:rsidRPr="00A800E0">
        <w:t xml:space="preserve"> </w:t>
      </w:r>
    </w:p>
    <w:p w14:paraId="564765C6" w14:textId="1923CB01" w:rsidR="00766FF5" w:rsidRPr="00A800E0" w:rsidRDefault="006F0E17" w:rsidP="006F0E17">
      <w:pPr>
        <w:pStyle w:val="SingleTxtG"/>
        <w:rPr>
          <w:b/>
          <w:bCs/>
        </w:rPr>
      </w:pPr>
      <w:r w:rsidRPr="00A800E0">
        <w:rPr>
          <w:rFonts w:asciiTheme="majorBidi" w:hAnsiTheme="majorBidi" w:cstheme="majorBidi"/>
        </w:rPr>
        <w:t>20.</w:t>
      </w:r>
      <w:r w:rsidRPr="00A800E0">
        <w:rPr>
          <w:rFonts w:asciiTheme="majorBidi" w:hAnsiTheme="majorBidi" w:cstheme="majorBidi"/>
        </w:rPr>
        <w:tab/>
      </w:r>
      <w:r w:rsidR="00766FF5" w:rsidRPr="00A800E0">
        <w:rPr>
          <w:b/>
          <w:bCs/>
        </w:rPr>
        <w:t>States Parties should:</w:t>
      </w:r>
    </w:p>
    <w:p w14:paraId="0C1835B9" w14:textId="5CD21926" w:rsidR="00766FF5" w:rsidRPr="00A800E0" w:rsidRDefault="007B2A95" w:rsidP="007B2A95">
      <w:pPr>
        <w:pStyle w:val="SingleTxtG"/>
        <w:rPr>
          <w:b/>
          <w:bCs/>
        </w:rPr>
      </w:pPr>
      <w:r w:rsidRPr="00A800E0">
        <w:tab/>
      </w:r>
      <w:r w:rsidR="00766FF5" w:rsidRPr="00A800E0">
        <w:t>(a)</w:t>
      </w:r>
      <w:r w:rsidR="00766FF5" w:rsidRPr="00A800E0">
        <w:rPr>
          <w:b/>
          <w:bCs/>
        </w:rPr>
        <w:tab/>
        <w:t xml:space="preserve">Adopt a comprehensive approach to eliminate disability-based violence, regardless of the place, situation or context in which violence manifests; </w:t>
      </w:r>
    </w:p>
    <w:p w14:paraId="17D1B70D" w14:textId="031B9FAC" w:rsidR="00766FF5" w:rsidRPr="00A800E0" w:rsidRDefault="007B2A95" w:rsidP="007B2A95">
      <w:pPr>
        <w:pStyle w:val="SingleTxtG"/>
        <w:rPr>
          <w:b/>
          <w:bCs/>
        </w:rPr>
      </w:pPr>
      <w:r w:rsidRPr="00A800E0">
        <w:tab/>
      </w:r>
      <w:r w:rsidR="00766FF5" w:rsidRPr="00A800E0">
        <w:t>(b)</w:t>
      </w:r>
      <w:r w:rsidR="00766FF5" w:rsidRPr="00A800E0">
        <w:rPr>
          <w:b/>
          <w:bCs/>
        </w:rPr>
        <w:tab/>
        <w:t>Ensure independent monitoring compliant with the Convention to identify, prevent and address violence against persons with disabilities in all settings;</w:t>
      </w:r>
    </w:p>
    <w:p w14:paraId="63683414" w14:textId="55C94D4B" w:rsidR="00766FF5" w:rsidRPr="00A800E0" w:rsidRDefault="007B2A95" w:rsidP="007B2A95">
      <w:pPr>
        <w:pStyle w:val="SingleTxtG"/>
        <w:rPr>
          <w:b/>
          <w:bCs/>
        </w:rPr>
      </w:pPr>
      <w:r w:rsidRPr="00A800E0">
        <w:tab/>
      </w:r>
      <w:r w:rsidR="00766FF5" w:rsidRPr="00A800E0">
        <w:t>(c)</w:t>
      </w:r>
      <w:r w:rsidR="00766FF5" w:rsidRPr="00A800E0">
        <w:rPr>
          <w:b/>
          <w:bCs/>
        </w:rPr>
        <w:tab/>
        <w:t xml:space="preserve">Ensure that independent complaint mechanisms are also available to persons still in institutions and are not replaced by internal complaint mechanisms. </w:t>
      </w:r>
    </w:p>
    <w:p w14:paraId="2FA2D29C" w14:textId="5E482DB2" w:rsidR="00766FF5" w:rsidRPr="00A800E0" w:rsidRDefault="006F0E17" w:rsidP="006F0E17">
      <w:pPr>
        <w:pStyle w:val="SingleTxtG"/>
      </w:pPr>
      <w:r w:rsidRPr="00A800E0">
        <w:rPr>
          <w:rFonts w:asciiTheme="majorBidi" w:hAnsiTheme="majorBidi" w:cstheme="majorBidi"/>
        </w:rPr>
        <w:t>21.</w:t>
      </w:r>
      <w:r w:rsidRPr="00A800E0">
        <w:rPr>
          <w:rFonts w:asciiTheme="majorBidi" w:hAnsiTheme="majorBidi" w:cstheme="majorBidi"/>
        </w:rPr>
        <w:tab/>
      </w:r>
      <w:r w:rsidR="00766FF5" w:rsidRPr="00A800E0">
        <w:t>Persons with disabilities may experience various forms of violence, including on intersectional grounds. V</w:t>
      </w:r>
      <w:r w:rsidR="00766FF5" w:rsidRPr="00A800E0">
        <w:rPr>
          <w:rFonts w:eastAsia="Arial"/>
        </w:rPr>
        <w:t xml:space="preserve">iolence </w:t>
      </w:r>
      <w:r w:rsidR="00766FF5" w:rsidRPr="00A800E0">
        <w:t>consists of a variety of dimensions and degrees of intensity. The sections below describe some forms of disability-based violence reported to or recorded by the Committee, and their impact on persons with disabilities.</w:t>
      </w:r>
      <w:r w:rsidR="00DE4F13" w:rsidRPr="00A800E0">
        <w:t xml:space="preserve"> </w:t>
      </w:r>
    </w:p>
    <w:p w14:paraId="1476815E" w14:textId="77777777" w:rsidR="00766FF5" w:rsidRPr="00A800E0" w:rsidRDefault="00766FF5" w:rsidP="00766FF5">
      <w:pPr>
        <w:pStyle w:val="H1G"/>
      </w:pPr>
      <w:r w:rsidRPr="00A800E0">
        <w:tab/>
        <w:t>C.</w:t>
      </w:r>
      <w:r w:rsidRPr="00A800E0">
        <w:tab/>
        <w:t xml:space="preserve">Structural, grave or systematic and intersectional dimensions </w:t>
      </w:r>
    </w:p>
    <w:p w14:paraId="214DACB2" w14:textId="77777777" w:rsidR="00766FF5" w:rsidRPr="00A800E0" w:rsidRDefault="00766FF5" w:rsidP="00766FF5">
      <w:pPr>
        <w:pStyle w:val="H23G"/>
      </w:pPr>
      <w:r w:rsidRPr="00A800E0">
        <w:tab/>
        <w:t>1.</w:t>
      </w:r>
      <w:r w:rsidRPr="00A800E0">
        <w:tab/>
        <w:t>Structural or systemic disability-based violence</w:t>
      </w:r>
    </w:p>
    <w:p w14:paraId="3BE6EF52" w14:textId="10788DCF" w:rsidR="00766FF5" w:rsidRPr="00A800E0" w:rsidRDefault="006F0E17" w:rsidP="006F0E17">
      <w:pPr>
        <w:pStyle w:val="SingleTxtG"/>
      </w:pPr>
      <w:r w:rsidRPr="00A800E0">
        <w:rPr>
          <w:rFonts w:asciiTheme="majorBidi" w:hAnsiTheme="majorBidi" w:cstheme="majorBidi"/>
        </w:rPr>
        <w:t>22.</w:t>
      </w:r>
      <w:r w:rsidRPr="00A800E0">
        <w:rPr>
          <w:rFonts w:asciiTheme="majorBidi" w:hAnsiTheme="majorBidi" w:cstheme="majorBidi"/>
        </w:rPr>
        <w:tab/>
      </w:r>
      <w:r w:rsidR="00766FF5" w:rsidRPr="00A800E0">
        <w:t>Structural or systemic disability-based violence describes violence where laws, policies, and practices cause harm to persons with disabilities. This dimension can be the result of structural and intersectional discrimination embedded in legislation, policies or practices grounded in ableism, paternalism, segregation, control, coercion, exclusion or denial of autonomy. Lack of inclusion, support, participation and equal recognition before the law perpetuates violence.</w:t>
      </w:r>
    </w:p>
    <w:p w14:paraId="257801A5" w14:textId="77777777" w:rsidR="00766FF5" w:rsidRPr="00A800E0" w:rsidRDefault="00766FF5" w:rsidP="00766FF5">
      <w:pPr>
        <w:pStyle w:val="H23G"/>
      </w:pPr>
      <w:r w:rsidRPr="00A800E0">
        <w:tab/>
        <w:t>2.</w:t>
      </w:r>
      <w:r w:rsidRPr="00A800E0">
        <w:tab/>
        <w:t>Violence amounting to grave or systematic violations of the Convention</w:t>
      </w:r>
    </w:p>
    <w:p w14:paraId="07E3DD27" w14:textId="2109CFE0" w:rsidR="00766FF5" w:rsidRPr="00A800E0" w:rsidRDefault="006F0E17" w:rsidP="006F0E17">
      <w:pPr>
        <w:pStyle w:val="SingleTxtG"/>
      </w:pPr>
      <w:r w:rsidRPr="00A800E0">
        <w:rPr>
          <w:rFonts w:asciiTheme="majorBidi" w:hAnsiTheme="majorBidi" w:cstheme="majorBidi"/>
        </w:rPr>
        <w:t>23.</w:t>
      </w:r>
      <w:r w:rsidRPr="00A800E0">
        <w:rPr>
          <w:rFonts w:asciiTheme="majorBidi" w:hAnsiTheme="majorBidi" w:cstheme="majorBidi"/>
        </w:rPr>
        <w:tab/>
      </w:r>
      <w:r w:rsidR="00766FF5" w:rsidRPr="00A800E0">
        <w:t xml:space="preserve">Disability-based violence may amount to grave or systematic violations of the Convention. Such violations include those likely to cause substantial harm, such as further segregation, isolation or impoverishment, assessed by reference to scale, prevalence, nature and impact, including any permanent or irreparable consequences for the enjoyment of rights. </w:t>
      </w:r>
      <w:r w:rsidR="00766FF5" w:rsidRPr="00A800E0">
        <w:lastRenderedPageBreak/>
        <w:t>Systematic violence is evidenced by the recurrence, regularity and continuous and/or organized nature of acts; the improbability of their random occurrence; and the diversity of the acts of violence. Legislation, policies and practices that violate the rights of persons with disabilities are often the basis of systematic forms of disability-based violence. Structural patterns of disability-based discrimination often result in systematic disability-based violence.</w:t>
      </w:r>
      <w:r w:rsidR="00766FF5" w:rsidRPr="00A800E0">
        <w:rPr>
          <w:rStyle w:val="FootnoteReference"/>
        </w:rPr>
        <w:footnoteReference w:id="17"/>
      </w:r>
      <w:r w:rsidR="00766FF5" w:rsidRPr="00A800E0">
        <w:t xml:space="preserve"> </w:t>
      </w:r>
    </w:p>
    <w:p w14:paraId="4BA7DC36" w14:textId="34A8659B" w:rsidR="00766FF5" w:rsidRPr="00A800E0" w:rsidRDefault="00766FF5" w:rsidP="00766FF5">
      <w:pPr>
        <w:pStyle w:val="H23G"/>
      </w:pPr>
      <w:r w:rsidRPr="00A800E0">
        <w:tab/>
        <w:t>3.</w:t>
      </w:r>
      <w:r w:rsidRPr="00A800E0">
        <w:tab/>
        <w:t>Disability-based violence amplified by intersectional discrimination</w:t>
      </w:r>
    </w:p>
    <w:p w14:paraId="01B7E28E" w14:textId="11991CE1" w:rsidR="00766FF5" w:rsidRPr="00A800E0" w:rsidRDefault="006F0E17" w:rsidP="006F0E17">
      <w:pPr>
        <w:pStyle w:val="SingleTxtG"/>
      </w:pPr>
      <w:r w:rsidRPr="00A800E0">
        <w:rPr>
          <w:rFonts w:asciiTheme="majorBidi" w:hAnsiTheme="majorBidi" w:cstheme="majorBidi"/>
        </w:rPr>
        <w:t>24.</w:t>
      </w:r>
      <w:r w:rsidRPr="00A800E0">
        <w:rPr>
          <w:rFonts w:asciiTheme="majorBidi" w:hAnsiTheme="majorBidi" w:cstheme="majorBidi"/>
        </w:rPr>
        <w:tab/>
      </w:r>
      <w:r w:rsidR="00766FF5" w:rsidRPr="00A800E0">
        <w:t xml:space="preserve">The risk of violence increases when disability intersects with other factors, such as race, colour, sex, gender, gender identity or expression, sexual orientation, sex characteristics, language, religion or belief, political or other opinion, national, ethnic, Indigenous or social origin, descent, caste, age, property, birth, socioeconomic or health status, migration, refugee, asylum-seeking or statelessness status, marital, maternity or parental status, deprivation of liberty, institutionalization, rural, remote or maritime location or other status. Persons with disabilities at a higher risk of violence due to intersectional discrimination include those described below. </w:t>
      </w:r>
    </w:p>
    <w:p w14:paraId="067B1A63" w14:textId="77777777" w:rsidR="00766FF5" w:rsidRPr="00A800E0" w:rsidRDefault="00766FF5" w:rsidP="00766FF5">
      <w:pPr>
        <w:pStyle w:val="H23G"/>
      </w:pPr>
      <w:r w:rsidRPr="00A800E0">
        <w:tab/>
      </w:r>
      <w:r w:rsidRPr="00A800E0">
        <w:tab/>
        <w:t>Persons under guardianship</w:t>
      </w:r>
    </w:p>
    <w:p w14:paraId="3BAFEF4E" w14:textId="015E16B0" w:rsidR="00766FF5" w:rsidRPr="00A800E0" w:rsidRDefault="006F0E17" w:rsidP="006F0E17">
      <w:pPr>
        <w:pStyle w:val="SingleTxtG"/>
      </w:pPr>
      <w:r w:rsidRPr="00A800E0">
        <w:rPr>
          <w:rFonts w:asciiTheme="majorBidi" w:hAnsiTheme="majorBidi" w:cstheme="majorBidi"/>
        </w:rPr>
        <w:t>25.</w:t>
      </w:r>
      <w:r w:rsidRPr="00A800E0">
        <w:rPr>
          <w:rFonts w:asciiTheme="majorBidi" w:hAnsiTheme="majorBidi" w:cstheme="majorBidi"/>
        </w:rPr>
        <w:tab/>
      </w:r>
      <w:r w:rsidR="00766FF5" w:rsidRPr="00A800E0">
        <w:t xml:space="preserve">Persons with disabilities under guardianship or other substitute decision-making regimes are often subjected to involuntary committal and non-consensual and/or forced treatment, including forced psychiatric interventions, in some cases throughout their entire lives. Economic exploitation and control experienced by persons with disabilities result from guardianship and inherent power imbalances. Persons with disabilities under guardianship often lack access to effective remedies and justice and are exposed to violence perpetrated by law enforcement officers. </w:t>
      </w:r>
    </w:p>
    <w:p w14:paraId="677C5BAA" w14:textId="77777777" w:rsidR="00766FF5" w:rsidRPr="00A800E0" w:rsidRDefault="00766FF5" w:rsidP="00766FF5">
      <w:pPr>
        <w:pStyle w:val="H23G"/>
      </w:pPr>
      <w:r w:rsidRPr="00A800E0">
        <w:tab/>
      </w:r>
      <w:r w:rsidRPr="00A800E0">
        <w:tab/>
        <w:t xml:space="preserve">Survivors of psychiatry </w:t>
      </w:r>
    </w:p>
    <w:p w14:paraId="28D57F99" w14:textId="6194B469" w:rsidR="00766FF5" w:rsidRPr="00A800E0" w:rsidRDefault="006F0E17" w:rsidP="006F0E17">
      <w:pPr>
        <w:pStyle w:val="SingleTxtG"/>
      </w:pPr>
      <w:r w:rsidRPr="00A800E0">
        <w:rPr>
          <w:rFonts w:asciiTheme="majorBidi" w:hAnsiTheme="majorBidi" w:cstheme="majorBidi"/>
        </w:rPr>
        <w:t>26.</w:t>
      </w:r>
      <w:r w:rsidRPr="00A800E0">
        <w:rPr>
          <w:rFonts w:asciiTheme="majorBidi" w:hAnsiTheme="majorBidi" w:cstheme="majorBidi"/>
        </w:rPr>
        <w:tab/>
      </w:r>
      <w:r w:rsidR="00766FF5" w:rsidRPr="00A800E0">
        <w:t xml:space="preserve">Persons who have been diagnosed and treated within mental health systems against their will or without their free and informed consent, or who are perceived by others as </w:t>
      </w:r>
      <w:r w:rsidR="00441B88">
        <w:t>“</w:t>
      </w:r>
      <w:r w:rsidR="00766FF5" w:rsidRPr="00A800E0">
        <w:t>mad</w:t>
      </w:r>
      <w:r w:rsidR="00441B88">
        <w:t>”</w:t>
      </w:r>
      <w:r w:rsidR="00766FF5" w:rsidRPr="00A800E0">
        <w:t xml:space="preserve"> or </w:t>
      </w:r>
      <w:r w:rsidR="00441B88">
        <w:t>“</w:t>
      </w:r>
      <w:r w:rsidR="00766FF5" w:rsidRPr="00A800E0">
        <w:t>mentally ill</w:t>
      </w:r>
      <w:r w:rsidR="00441B88">
        <w:t>”</w:t>
      </w:r>
      <w:r w:rsidR="00766FF5" w:rsidRPr="00A800E0">
        <w:t>, face a heightened risk of recurring psychiatric violence and other disability</w:t>
      </w:r>
      <w:r w:rsidR="00441B88">
        <w:noBreakHyphen/>
      </w:r>
      <w:r w:rsidR="00766FF5" w:rsidRPr="00A800E0">
        <w:t xml:space="preserve">based violence, discrimination and exclusion in all areas of life, including education, health, work, housing, family relationships, participation and opportunities for advancement. </w:t>
      </w:r>
    </w:p>
    <w:p w14:paraId="218CC735" w14:textId="77777777" w:rsidR="00766FF5" w:rsidRPr="00A800E0" w:rsidRDefault="00766FF5" w:rsidP="00766FF5">
      <w:pPr>
        <w:pStyle w:val="H23G"/>
      </w:pPr>
      <w:r w:rsidRPr="00A800E0">
        <w:tab/>
      </w:r>
      <w:r w:rsidRPr="00A800E0">
        <w:tab/>
        <w:t xml:space="preserve">Women and girls </w:t>
      </w:r>
    </w:p>
    <w:p w14:paraId="30C2FFB1" w14:textId="7BAF3828" w:rsidR="00766FF5" w:rsidRPr="00A800E0" w:rsidRDefault="006F0E17" w:rsidP="006F0E17">
      <w:pPr>
        <w:pStyle w:val="SingleTxtG"/>
      </w:pPr>
      <w:r w:rsidRPr="00A800E0">
        <w:rPr>
          <w:rFonts w:asciiTheme="majorBidi" w:hAnsiTheme="majorBidi" w:cstheme="majorBidi"/>
        </w:rPr>
        <w:t>27.</w:t>
      </w:r>
      <w:r w:rsidRPr="00A800E0">
        <w:rPr>
          <w:rFonts w:asciiTheme="majorBidi" w:hAnsiTheme="majorBidi" w:cstheme="majorBidi"/>
        </w:rPr>
        <w:tab/>
      </w:r>
      <w:r w:rsidR="00766FF5" w:rsidRPr="00A800E0">
        <w:t>Women and girls with disabilities experience violence at the intersection of gender- and disability-based discrimination.</w:t>
      </w:r>
      <w:r w:rsidR="00766FF5" w:rsidRPr="00A800E0">
        <w:rPr>
          <w:vertAlign w:val="superscript"/>
        </w:rPr>
        <w:footnoteReference w:id="18"/>
      </w:r>
      <w:r w:rsidR="00766FF5" w:rsidRPr="00A800E0">
        <w:t xml:space="preserve"> This violence is rooted in the intersection of ableism, patriarchal systems, gender and disability stereotypes and the denial of autonomy, bodily integrity and legal capacity. </w:t>
      </w:r>
    </w:p>
    <w:p w14:paraId="43D7EF0F" w14:textId="77777777" w:rsidR="00766FF5" w:rsidRPr="00A800E0" w:rsidRDefault="00766FF5" w:rsidP="00766FF5">
      <w:pPr>
        <w:pStyle w:val="SingleTxtG"/>
        <w:rPr>
          <w:rFonts w:eastAsia="Aptos"/>
        </w:rPr>
      </w:pPr>
      <w:r w:rsidRPr="00A800E0">
        <w:rPr>
          <w:rFonts w:eastAsia="Aptos"/>
        </w:rPr>
        <w:t>28.</w:t>
      </w:r>
      <w:r w:rsidRPr="00A800E0">
        <w:rPr>
          <w:rFonts w:eastAsia="Aptos"/>
        </w:rPr>
        <w:tab/>
        <w:t>Gender- and disability-based discrimination result in the relegation of women and girls with disabilities to subordinate positions compared with others in the family, the household or the community,</w:t>
      </w:r>
      <w:r w:rsidRPr="00A800E0">
        <w:rPr>
          <w:rFonts w:eastAsia="Aptos"/>
          <w:vertAlign w:val="superscript"/>
        </w:rPr>
        <w:footnoteReference w:id="19"/>
      </w:r>
      <w:r w:rsidRPr="00A800E0">
        <w:rPr>
          <w:rFonts w:eastAsia="Aptos"/>
        </w:rPr>
        <w:t xml:space="preserve"> heightening risks of violence. </w:t>
      </w:r>
    </w:p>
    <w:p w14:paraId="4DFAF069" w14:textId="77777777" w:rsidR="00766FF5" w:rsidRPr="00A800E0" w:rsidRDefault="00766FF5" w:rsidP="00766FF5">
      <w:pPr>
        <w:pStyle w:val="SingleTxtG"/>
      </w:pPr>
      <w:r w:rsidRPr="00A800E0">
        <w:t>29.</w:t>
      </w:r>
      <w:r w:rsidRPr="00A800E0">
        <w:tab/>
        <w:t>Intimate partners, relatives and other persons in positions of trust, service providers and authorities can perpetuate gender- and disability-based violence.</w:t>
      </w:r>
    </w:p>
    <w:p w14:paraId="2EE5BD71" w14:textId="401A15C2" w:rsidR="00766FF5" w:rsidRPr="00A800E0" w:rsidRDefault="006F0E17" w:rsidP="006F0E17">
      <w:pPr>
        <w:pStyle w:val="SingleTxtG"/>
      </w:pPr>
      <w:r w:rsidRPr="00A800E0">
        <w:rPr>
          <w:rFonts w:asciiTheme="majorBidi" w:hAnsiTheme="majorBidi" w:cstheme="majorBidi"/>
        </w:rPr>
        <w:t>30.</w:t>
      </w:r>
      <w:r w:rsidRPr="00A800E0">
        <w:rPr>
          <w:rFonts w:asciiTheme="majorBidi" w:hAnsiTheme="majorBidi" w:cstheme="majorBidi"/>
        </w:rPr>
        <w:tab/>
      </w:r>
      <w:r w:rsidR="00766FF5" w:rsidRPr="00A800E0">
        <w:t xml:space="preserve">Women and girls with disabilities not only face similar barriers to exercising their sexual and reproductive rights as other women, but also face unique barriers and abuse due to the intersection of gender and disability and pervasive stigma and stereotypes. Violations </w:t>
      </w:r>
      <w:r w:rsidR="00766FF5" w:rsidRPr="00A800E0">
        <w:lastRenderedPageBreak/>
        <w:t>of women</w:t>
      </w:r>
      <w:r w:rsidR="00441B88">
        <w:t>’</w:t>
      </w:r>
      <w:r w:rsidR="00766FF5" w:rsidRPr="00A800E0">
        <w:t>s sexual and reproductive rights may amount to torture or cruel, inhuman or degrading treatment.</w:t>
      </w:r>
      <w:r w:rsidR="00766FF5" w:rsidRPr="00A800E0">
        <w:rPr>
          <w:vertAlign w:val="superscript"/>
        </w:rPr>
        <w:footnoteReference w:id="20"/>
      </w:r>
    </w:p>
    <w:p w14:paraId="3EA174F6" w14:textId="4AD94442" w:rsidR="00766FF5" w:rsidRPr="00A800E0" w:rsidRDefault="006F0E17" w:rsidP="006F0E17">
      <w:pPr>
        <w:pStyle w:val="SingleTxtG"/>
        <w:rPr>
          <w:bCs/>
          <w:color w:val="000000"/>
        </w:rPr>
      </w:pPr>
      <w:r w:rsidRPr="00A800E0">
        <w:rPr>
          <w:rFonts w:asciiTheme="majorBidi" w:hAnsiTheme="majorBidi" w:cstheme="majorBidi"/>
        </w:rPr>
        <w:t>31.</w:t>
      </w:r>
      <w:r w:rsidRPr="00A800E0">
        <w:rPr>
          <w:rFonts w:asciiTheme="majorBidi" w:hAnsiTheme="majorBidi" w:cstheme="majorBidi"/>
        </w:rPr>
        <w:tab/>
      </w:r>
      <w:r w:rsidR="00766FF5" w:rsidRPr="00A800E0">
        <w:t xml:space="preserve">A lack of comprehensive sexuality education, including for young girls with disabilities and women with intellectual and women with psychosocial disabilities, increases the risk of gender- and disability-based violence. </w:t>
      </w:r>
    </w:p>
    <w:p w14:paraId="5310E432" w14:textId="4C78A185" w:rsidR="00766FF5" w:rsidRPr="00A800E0" w:rsidRDefault="006F0E17" w:rsidP="006F0E17">
      <w:pPr>
        <w:pStyle w:val="SingleTxtG"/>
        <w:rPr>
          <w:color w:val="000000"/>
        </w:rPr>
      </w:pPr>
      <w:r w:rsidRPr="00A800E0">
        <w:rPr>
          <w:rFonts w:asciiTheme="majorBidi" w:hAnsiTheme="majorBidi" w:cstheme="majorBidi"/>
        </w:rPr>
        <w:t>32.</w:t>
      </w:r>
      <w:r w:rsidRPr="00A800E0">
        <w:rPr>
          <w:rFonts w:asciiTheme="majorBidi" w:hAnsiTheme="majorBidi" w:cstheme="majorBidi"/>
        </w:rPr>
        <w:tab/>
      </w:r>
      <w:r w:rsidR="00766FF5" w:rsidRPr="00A800E0">
        <w:rPr>
          <w:color w:val="000000"/>
        </w:rPr>
        <w:t xml:space="preserve">Guardianship aggravates </w:t>
      </w:r>
      <w:r w:rsidR="00766FF5" w:rsidRPr="00A800E0">
        <w:rPr>
          <w:bCs/>
          <w:color w:val="000000"/>
        </w:rPr>
        <w:t>reproductive coercion against women and girls with disabilities, including with regard to control of reproductive decisions and access to healthcare.</w:t>
      </w:r>
      <w:r w:rsidR="00766FF5" w:rsidRPr="00A800E0">
        <w:t xml:space="preserve"> The risks</w:t>
      </w:r>
      <w:r w:rsidR="00766FF5" w:rsidRPr="00A800E0">
        <w:rPr>
          <w:color w:val="000000"/>
        </w:rPr>
        <w:t xml:space="preserve"> of violence are heightened when access to sexual and reproductive information is mediated by family members, who may exercise control over the reproductive choices of women and girls with disabilities. </w:t>
      </w:r>
    </w:p>
    <w:p w14:paraId="4A0F4268" w14:textId="712FA923" w:rsidR="00766FF5" w:rsidRPr="00A800E0" w:rsidRDefault="006F0E17" w:rsidP="006F0E17">
      <w:pPr>
        <w:pStyle w:val="SingleTxtG"/>
      </w:pPr>
      <w:r w:rsidRPr="00A800E0">
        <w:rPr>
          <w:rFonts w:asciiTheme="majorBidi" w:hAnsiTheme="majorBidi" w:cstheme="majorBidi"/>
        </w:rPr>
        <w:t>33.</w:t>
      </w:r>
      <w:r w:rsidRPr="00A800E0">
        <w:rPr>
          <w:rFonts w:asciiTheme="majorBidi" w:hAnsiTheme="majorBidi" w:cstheme="majorBidi"/>
        </w:rPr>
        <w:tab/>
      </w:r>
      <w:r w:rsidR="00766FF5" w:rsidRPr="00A800E0">
        <w:t>Women and girls with disabilities who have experienced sexual violence risk rejection and revictimization if they report it.</w:t>
      </w:r>
    </w:p>
    <w:p w14:paraId="46736D5E" w14:textId="39905593" w:rsidR="00766FF5" w:rsidRPr="00A800E0" w:rsidRDefault="006F0E17" w:rsidP="006F0E17">
      <w:pPr>
        <w:pStyle w:val="SingleTxtG"/>
        <w:rPr>
          <w:rFonts w:eastAsia="Aptos"/>
          <w:color w:val="000000"/>
        </w:rPr>
      </w:pPr>
      <w:r w:rsidRPr="00A800E0">
        <w:rPr>
          <w:rFonts w:asciiTheme="majorBidi" w:eastAsia="Aptos" w:hAnsiTheme="majorBidi" w:cstheme="majorBidi"/>
        </w:rPr>
        <w:t>34.</w:t>
      </w:r>
      <w:r w:rsidRPr="00A800E0">
        <w:rPr>
          <w:rFonts w:asciiTheme="majorBidi" w:eastAsia="Aptos" w:hAnsiTheme="majorBidi" w:cstheme="majorBidi"/>
        </w:rPr>
        <w:tab/>
      </w:r>
      <w:r w:rsidR="00766FF5" w:rsidRPr="00A800E0">
        <w:t>Gender- and disability-based violence includes non-consensual or forced sterilization, abortion or contraception;</w:t>
      </w:r>
      <w:r w:rsidR="00766FF5" w:rsidRPr="00A800E0">
        <w:rPr>
          <w:rFonts w:eastAsia="Aptos"/>
          <w:color w:val="000000"/>
        </w:rPr>
        <w:t xml:space="preserve"> female genital mutilation; forced marriage;</w:t>
      </w:r>
      <w:r w:rsidR="00766FF5" w:rsidRPr="00A800E0">
        <w:t xml:space="preserve"> and the denial of accessible contraception, post-rape care, emergency contraception, HIV post-exposure prophylaxis, maternal healthcare, and abortion and post-abortion care</w:t>
      </w:r>
      <w:r w:rsidR="00766FF5" w:rsidRPr="00A800E0">
        <w:rPr>
          <w:rFonts w:eastAsia="Aptos"/>
          <w:color w:val="000000"/>
        </w:rPr>
        <w:t xml:space="preserve">. </w:t>
      </w:r>
    </w:p>
    <w:p w14:paraId="553783F7" w14:textId="5EDC03F2" w:rsidR="00766FF5" w:rsidRPr="00A800E0" w:rsidRDefault="006F0E17" w:rsidP="006F0E17">
      <w:pPr>
        <w:pStyle w:val="SingleTxtG"/>
        <w:rPr>
          <w:rFonts w:eastAsia="Times New Roman"/>
        </w:rPr>
      </w:pPr>
      <w:r w:rsidRPr="00A800E0">
        <w:rPr>
          <w:rFonts w:asciiTheme="majorBidi" w:eastAsia="Times New Roman" w:hAnsiTheme="majorBidi" w:cstheme="majorBidi"/>
        </w:rPr>
        <w:t>35.</w:t>
      </w:r>
      <w:r w:rsidRPr="00A800E0">
        <w:rPr>
          <w:rFonts w:asciiTheme="majorBidi" w:eastAsia="Times New Roman" w:hAnsiTheme="majorBidi" w:cstheme="majorBidi"/>
        </w:rPr>
        <w:tab/>
      </w:r>
      <w:r w:rsidR="00766FF5" w:rsidRPr="00A800E0">
        <w:t>Non-consensual or forced sterilization is a normalized practice experienced by girls and young women with disabilities once they reach puberty. It is also imposed on boys and men.</w:t>
      </w:r>
      <w:r w:rsidR="00766FF5" w:rsidRPr="00A800E0">
        <w:rPr>
          <w:rFonts w:eastAsia="Times New Roman"/>
        </w:rPr>
        <w:t xml:space="preserve"> </w:t>
      </w:r>
      <w:r w:rsidR="00766FF5" w:rsidRPr="00A800E0">
        <w:t>Forced sterilization and forced abortion</w:t>
      </w:r>
      <w:r w:rsidR="00766FF5" w:rsidRPr="00A800E0">
        <w:rPr>
          <w:vertAlign w:val="superscript"/>
        </w:rPr>
        <w:footnoteReference w:id="21"/>
      </w:r>
      <w:r w:rsidR="00766FF5" w:rsidRPr="00A800E0">
        <w:t xml:space="preserve"> perpetrated against women with psychosocial disabilities and with intellectual disabilities following institutionalization</w:t>
      </w:r>
      <w:r w:rsidR="00766FF5" w:rsidRPr="00A800E0">
        <w:rPr>
          <w:vertAlign w:val="superscript"/>
        </w:rPr>
        <w:footnoteReference w:id="22"/>
      </w:r>
      <w:r w:rsidR="00766FF5" w:rsidRPr="00A800E0">
        <w:t xml:space="preserve"> is a common cause of long-term harm.</w:t>
      </w:r>
    </w:p>
    <w:p w14:paraId="4DCE8C3F" w14:textId="33FE3817" w:rsidR="00766FF5" w:rsidRPr="00A800E0" w:rsidRDefault="006F0E17" w:rsidP="006F0E17">
      <w:pPr>
        <w:pStyle w:val="SingleTxtG"/>
        <w:rPr>
          <w:rFonts w:eastAsia="Times New Roman"/>
        </w:rPr>
      </w:pPr>
      <w:r w:rsidRPr="00A800E0">
        <w:rPr>
          <w:rFonts w:asciiTheme="majorBidi" w:eastAsia="Times New Roman" w:hAnsiTheme="majorBidi" w:cstheme="majorBidi"/>
        </w:rPr>
        <w:t>36.</w:t>
      </w:r>
      <w:r w:rsidRPr="00A800E0">
        <w:rPr>
          <w:rFonts w:asciiTheme="majorBidi" w:eastAsia="Times New Roman" w:hAnsiTheme="majorBidi" w:cstheme="majorBidi"/>
        </w:rPr>
        <w:tab/>
      </w:r>
      <w:r w:rsidR="00766FF5" w:rsidRPr="00A800E0">
        <w:t xml:space="preserve">Forced abortion is rooted in ableist, patriarchal and eugenic assumptions about disability, reproduction and parenting, and is part of a pattern of reproductive control in which it is assumed that women with disabilities are unfit for motherhood and parenting or should be discouraged from reproducing. </w:t>
      </w:r>
    </w:p>
    <w:p w14:paraId="07E72DD9" w14:textId="5D8D3F56" w:rsidR="00766FF5" w:rsidRPr="00A800E0" w:rsidRDefault="006F0E17" w:rsidP="006F0E17">
      <w:pPr>
        <w:pStyle w:val="SingleTxtG"/>
      </w:pPr>
      <w:r w:rsidRPr="00A800E0">
        <w:rPr>
          <w:rFonts w:asciiTheme="majorBidi" w:hAnsiTheme="majorBidi" w:cstheme="majorBidi"/>
        </w:rPr>
        <w:t>37.</w:t>
      </w:r>
      <w:r w:rsidRPr="00A800E0">
        <w:rPr>
          <w:rFonts w:asciiTheme="majorBidi" w:hAnsiTheme="majorBidi" w:cstheme="majorBidi"/>
        </w:rPr>
        <w:tab/>
      </w:r>
      <w:r w:rsidR="00766FF5" w:rsidRPr="00A800E0">
        <w:t>Related violence includes practices for controlling menstruation, sexuality or development, in particular hormonal treatments to inhibit growth or puberty in girls and young women with intensive support needs, often imposed without their free and informed consent.</w:t>
      </w:r>
      <w:r w:rsidR="00766FF5" w:rsidRPr="00A800E0">
        <w:rPr>
          <w:vertAlign w:val="superscript"/>
        </w:rPr>
        <w:footnoteReference w:id="23"/>
      </w:r>
    </w:p>
    <w:p w14:paraId="4AD692F5" w14:textId="66341B8B" w:rsidR="00766FF5" w:rsidRPr="00A800E0" w:rsidRDefault="006F0E17" w:rsidP="006F0E17">
      <w:pPr>
        <w:pStyle w:val="SingleTxtG"/>
      </w:pPr>
      <w:r w:rsidRPr="00A800E0">
        <w:rPr>
          <w:rFonts w:asciiTheme="majorBidi" w:hAnsiTheme="majorBidi" w:cstheme="majorBidi"/>
        </w:rPr>
        <w:t>38.</w:t>
      </w:r>
      <w:r w:rsidRPr="00A800E0">
        <w:rPr>
          <w:rFonts w:asciiTheme="majorBidi" w:hAnsiTheme="majorBidi" w:cstheme="majorBidi"/>
        </w:rPr>
        <w:tab/>
      </w:r>
      <w:r w:rsidR="00766FF5" w:rsidRPr="00A800E0">
        <w:rPr>
          <w:rFonts w:eastAsia="Times New Roman"/>
        </w:rPr>
        <w:t xml:space="preserve">Women and girls with disabilities also experience violence in the form of </w:t>
      </w:r>
      <w:r w:rsidR="00766FF5" w:rsidRPr="00A800E0">
        <w:t xml:space="preserve">physical, sexual and intimate partner violence, emotional abuse, financial exploitation, isolation, verbal attacks, humiliation, intimidation, femicide, threats of violence and abandonment. </w:t>
      </w:r>
    </w:p>
    <w:p w14:paraId="24D09287" w14:textId="3B667F72" w:rsidR="00766FF5" w:rsidRPr="00A800E0" w:rsidRDefault="006F0E17" w:rsidP="006F0E17">
      <w:pPr>
        <w:pStyle w:val="SingleTxtG"/>
      </w:pPr>
      <w:r w:rsidRPr="00A800E0">
        <w:rPr>
          <w:rFonts w:asciiTheme="majorBidi" w:hAnsiTheme="majorBidi" w:cstheme="majorBidi"/>
        </w:rPr>
        <w:t>39.</w:t>
      </w:r>
      <w:r w:rsidRPr="00A800E0">
        <w:rPr>
          <w:rFonts w:asciiTheme="majorBidi" w:hAnsiTheme="majorBidi" w:cstheme="majorBidi"/>
        </w:rPr>
        <w:tab/>
      </w:r>
      <w:r w:rsidR="00766FF5" w:rsidRPr="00A800E0">
        <w:t xml:space="preserve">Many girls with disabilities experience sexual violence in early childhood and throughout adolescence and adulthood, as they are often perceived as vulnerable, fragile, dependent, unlikely to be believed and defenceless because of an impairment. </w:t>
      </w:r>
    </w:p>
    <w:p w14:paraId="7092107E" w14:textId="292995D9" w:rsidR="00766FF5" w:rsidRPr="00A800E0" w:rsidRDefault="006F0E17" w:rsidP="006F0E17">
      <w:pPr>
        <w:pStyle w:val="SingleTxtG"/>
      </w:pPr>
      <w:r w:rsidRPr="00A800E0">
        <w:rPr>
          <w:rFonts w:asciiTheme="majorBidi" w:hAnsiTheme="majorBidi" w:cstheme="majorBidi"/>
        </w:rPr>
        <w:t>40.</w:t>
      </w:r>
      <w:r w:rsidRPr="00A800E0">
        <w:rPr>
          <w:rFonts w:asciiTheme="majorBidi" w:hAnsiTheme="majorBidi" w:cstheme="majorBidi"/>
        </w:rPr>
        <w:tab/>
      </w:r>
      <w:r w:rsidR="00766FF5" w:rsidRPr="00A800E0">
        <w:t>Physical violence against women with disabilities is multifaceted; forced medication is one common form. For example, women with disabilities may be required to take psychiatric medication in order to access food. Physical attacks against women with albinism marginalize them through the loss of their capacity to work and the loss of employment opportunities.</w:t>
      </w:r>
    </w:p>
    <w:p w14:paraId="2E8FAE9B" w14:textId="42ED6ADE" w:rsidR="00766FF5" w:rsidRPr="00A800E0" w:rsidRDefault="006F0E17" w:rsidP="006F0E17">
      <w:pPr>
        <w:pStyle w:val="SingleTxtG"/>
      </w:pPr>
      <w:r w:rsidRPr="00A800E0">
        <w:rPr>
          <w:rFonts w:asciiTheme="majorBidi" w:hAnsiTheme="majorBidi" w:cstheme="majorBidi"/>
        </w:rPr>
        <w:t>41.</w:t>
      </w:r>
      <w:r w:rsidRPr="00A800E0">
        <w:rPr>
          <w:rFonts w:asciiTheme="majorBidi" w:hAnsiTheme="majorBidi" w:cstheme="majorBidi"/>
        </w:rPr>
        <w:tab/>
      </w:r>
      <w:r w:rsidR="00766FF5" w:rsidRPr="00A800E0">
        <w:t>Economic violence against women with disabilities is often aggravated by factors such as age and migration situation. Guardians and third parties often control, divert and withhold social security payments to which women with disabilities are entitled.</w:t>
      </w:r>
    </w:p>
    <w:p w14:paraId="592A3B76" w14:textId="3ADCC7E5" w:rsidR="00766FF5" w:rsidRPr="00A800E0" w:rsidRDefault="006F0E17" w:rsidP="006F0E17">
      <w:pPr>
        <w:pStyle w:val="SingleTxtG"/>
      </w:pPr>
      <w:r w:rsidRPr="00A800E0">
        <w:rPr>
          <w:rFonts w:asciiTheme="majorBidi" w:hAnsiTheme="majorBidi" w:cstheme="majorBidi"/>
        </w:rPr>
        <w:t>42.</w:t>
      </w:r>
      <w:r w:rsidRPr="00A800E0">
        <w:rPr>
          <w:rFonts w:asciiTheme="majorBidi" w:hAnsiTheme="majorBidi" w:cstheme="majorBidi"/>
        </w:rPr>
        <w:tab/>
      </w:r>
      <w:r w:rsidR="00766FF5" w:rsidRPr="00A800E0">
        <w:t>Women and girls with disabilities face heightened risks of trafficking, forced marriage, displacement and deprivation of services in the community.</w:t>
      </w:r>
    </w:p>
    <w:p w14:paraId="4437FED3" w14:textId="6C187BF4" w:rsidR="00766FF5" w:rsidRPr="005321DD" w:rsidRDefault="006F0E17" w:rsidP="005321DD">
      <w:pPr>
        <w:pStyle w:val="SingleTxtG"/>
      </w:pPr>
      <w:r w:rsidRPr="00A800E0">
        <w:rPr>
          <w:rFonts w:asciiTheme="majorBidi" w:hAnsiTheme="majorBidi" w:cstheme="majorBidi"/>
        </w:rPr>
        <w:lastRenderedPageBreak/>
        <w:t>43.</w:t>
      </w:r>
      <w:r w:rsidRPr="00A800E0">
        <w:rPr>
          <w:rFonts w:asciiTheme="majorBidi" w:hAnsiTheme="majorBidi" w:cstheme="majorBidi"/>
        </w:rPr>
        <w:tab/>
      </w:r>
      <w:r w:rsidR="00766FF5" w:rsidRPr="00A800E0">
        <w:t>Gender and disability stereotypes prevent access to justice and effective remedies, as women and girls with disabilities are not considered credible by law enforcement officers.</w:t>
      </w:r>
    </w:p>
    <w:p w14:paraId="3337C024" w14:textId="77777777" w:rsidR="00766FF5" w:rsidRPr="00A800E0" w:rsidRDefault="00766FF5" w:rsidP="00766FF5">
      <w:pPr>
        <w:pStyle w:val="H23G"/>
      </w:pPr>
      <w:r w:rsidRPr="00A800E0">
        <w:tab/>
      </w:r>
      <w:r w:rsidRPr="00A800E0">
        <w:tab/>
        <w:t xml:space="preserve">LGBTIQ+ persons </w:t>
      </w:r>
    </w:p>
    <w:p w14:paraId="7CD2F699" w14:textId="4B23D222" w:rsidR="00766FF5" w:rsidRPr="00A800E0" w:rsidRDefault="006F0E17" w:rsidP="006F0E17">
      <w:pPr>
        <w:pStyle w:val="SingleTxtG"/>
      </w:pPr>
      <w:r w:rsidRPr="00A800E0">
        <w:rPr>
          <w:rFonts w:asciiTheme="majorBidi" w:hAnsiTheme="majorBidi" w:cstheme="majorBidi"/>
        </w:rPr>
        <w:t>44.</w:t>
      </w:r>
      <w:r w:rsidRPr="00A800E0">
        <w:rPr>
          <w:rFonts w:asciiTheme="majorBidi" w:hAnsiTheme="majorBidi" w:cstheme="majorBidi"/>
        </w:rPr>
        <w:tab/>
      </w:r>
      <w:r w:rsidR="00766FF5" w:rsidRPr="00A800E0">
        <w:t xml:space="preserve">Non-binary, transgender, intersex, lesbian, gay, bisexual, queer and gender-diverse persons with disabilities also experience gender and disability-based violence. They are often subjected to medicalization, forced treatment and institutionalization. Diverse gender identity has sometimes been identified as an impairment, exacerbating intersectional violence. </w:t>
      </w:r>
    </w:p>
    <w:p w14:paraId="444B3D66" w14:textId="77777777" w:rsidR="00766FF5" w:rsidRPr="00A800E0" w:rsidRDefault="00766FF5" w:rsidP="00766FF5">
      <w:pPr>
        <w:pStyle w:val="H23G"/>
      </w:pPr>
      <w:r w:rsidRPr="00A800E0">
        <w:tab/>
      </w:r>
      <w:r w:rsidRPr="00A800E0">
        <w:tab/>
        <w:t xml:space="preserve">Children </w:t>
      </w:r>
    </w:p>
    <w:p w14:paraId="157F489A" w14:textId="4A4EC68C" w:rsidR="00766FF5" w:rsidRPr="00A800E0" w:rsidRDefault="006F0E17" w:rsidP="006F0E17">
      <w:pPr>
        <w:pStyle w:val="SingleTxtG"/>
        <w:rPr>
          <w:b/>
          <w:bCs/>
          <w:color w:val="000000"/>
        </w:rPr>
      </w:pPr>
      <w:r w:rsidRPr="00A800E0">
        <w:rPr>
          <w:rFonts w:asciiTheme="majorBidi" w:hAnsiTheme="majorBidi" w:cstheme="majorBidi"/>
        </w:rPr>
        <w:t>45.</w:t>
      </w:r>
      <w:r w:rsidRPr="00A800E0">
        <w:rPr>
          <w:rFonts w:asciiTheme="majorBidi" w:hAnsiTheme="majorBidi" w:cstheme="majorBidi"/>
        </w:rPr>
        <w:tab/>
      </w:r>
      <w:r w:rsidR="00766FF5" w:rsidRPr="00A800E0">
        <w:t xml:space="preserve">Children with disabilities are often exposed to aggravated forms of disability-based violence owing to the intersection of disability, age and other factors, including gender, socioeconomic status, ethnic origin or migration status. They </w:t>
      </w:r>
      <w:r w:rsidR="00766FF5" w:rsidRPr="00A800E0">
        <w:rPr>
          <w:color w:val="000000"/>
        </w:rPr>
        <w:t xml:space="preserve">often face </w:t>
      </w:r>
      <w:r w:rsidR="00766FF5" w:rsidRPr="00A800E0">
        <w:t xml:space="preserve">abandonment, family separation, forced treatment, institutionalization, </w:t>
      </w:r>
      <w:r w:rsidR="00766FF5" w:rsidRPr="00A800E0">
        <w:rPr>
          <w:color w:val="000000"/>
        </w:rPr>
        <w:t>physical, sexual or psychological violence, or neglect.</w:t>
      </w:r>
      <w:r w:rsidR="00766FF5" w:rsidRPr="00A800E0">
        <w:t xml:space="preserve"> </w:t>
      </w:r>
      <w:r w:rsidR="00766FF5" w:rsidRPr="00A800E0">
        <w:rPr>
          <w:color w:val="000000"/>
        </w:rPr>
        <w:t xml:space="preserve">Children with intellectual disabilities and children with psychosocial disabilities are at heightened risk of violence in institutions. </w:t>
      </w:r>
    </w:p>
    <w:p w14:paraId="4F10E78E" w14:textId="23E3D5D7" w:rsidR="00766FF5" w:rsidRPr="00A800E0" w:rsidRDefault="006F0E17" w:rsidP="006F0E17">
      <w:pPr>
        <w:pStyle w:val="SingleTxtG"/>
        <w:rPr>
          <w:color w:val="000000"/>
        </w:rPr>
      </w:pPr>
      <w:r w:rsidRPr="00A800E0">
        <w:rPr>
          <w:rFonts w:asciiTheme="majorBidi" w:hAnsiTheme="majorBidi" w:cstheme="majorBidi"/>
        </w:rPr>
        <w:t>46.</w:t>
      </w:r>
      <w:r w:rsidRPr="00A800E0">
        <w:rPr>
          <w:rFonts w:asciiTheme="majorBidi" w:hAnsiTheme="majorBidi" w:cstheme="majorBidi"/>
        </w:rPr>
        <w:tab/>
      </w:r>
      <w:r w:rsidR="00766FF5" w:rsidRPr="00A800E0">
        <w:t>In some communities, infants and older children with disabilities are killed.</w:t>
      </w:r>
      <w:r w:rsidR="00766FF5" w:rsidRPr="00A800E0">
        <w:rPr>
          <w:color w:val="000000"/>
        </w:rPr>
        <w:t xml:space="preserve"> Reported situations include </w:t>
      </w:r>
      <w:r w:rsidR="00766FF5" w:rsidRPr="00A800E0">
        <w:t>abandonment</w:t>
      </w:r>
      <w:r w:rsidR="00766FF5" w:rsidRPr="00A800E0">
        <w:rPr>
          <w:color w:val="000000"/>
        </w:rPr>
        <w:t xml:space="preserve">, gross neglect, abuse and lifelong exclusion from the community. </w:t>
      </w:r>
      <w:r w:rsidR="00766FF5" w:rsidRPr="00A800E0">
        <w:t>Children with albinism are often secluded at home and prevented from attending school owing to fear of violence.</w:t>
      </w:r>
      <w:r w:rsidR="00DE4F13" w:rsidRPr="00A800E0">
        <w:t xml:space="preserve"> </w:t>
      </w:r>
    </w:p>
    <w:p w14:paraId="5690017C" w14:textId="2ECA4E07" w:rsidR="00766FF5" w:rsidRPr="00A800E0" w:rsidRDefault="006F0E17" w:rsidP="006F0E17">
      <w:pPr>
        <w:pStyle w:val="SingleTxtG"/>
      </w:pPr>
      <w:r w:rsidRPr="00A800E0">
        <w:rPr>
          <w:rFonts w:asciiTheme="majorBidi" w:hAnsiTheme="majorBidi" w:cstheme="majorBidi"/>
        </w:rPr>
        <w:t>47.</w:t>
      </w:r>
      <w:r w:rsidRPr="00A800E0">
        <w:rPr>
          <w:rFonts w:asciiTheme="majorBidi" w:hAnsiTheme="majorBidi" w:cstheme="majorBidi"/>
        </w:rPr>
        <w:tab/>
      </w:r>
      <w:r w:rsidR="00766FF5" w:rsidRPr="00A800E0">
        <w:t>Children and adolescents with disabilities experience higher rates of bullying in school than their peers without impairment. This includes physical aggression, theft, intimidation and cyberbullying by other students. They are more likely to experience physical, psychological, sexual or technology-based violence. Girls with disabilities face even greater risks of violence, including corporal punishment, the use of restraints and seclusion.</w:t>
      </w:r>
      <w:r w:rsidR="00766FF5" w:rsidRPr="00A800E0">
        <w:rPr>
          <w:rStyle w:val="FootnoteReference"/>
        </w:rPr>
        <w:footnoteReference w:id="24"/>
      </w:r>
      <w:r w:rsidR="00766FF5" w:rsidRPr="00A800E0">
        <w:t xml:space="preserve"> </w:t>
      </w:r>
    </w:p>
    <w:p w14:paraId="6D95D626" w14:textId="77777777" w:rsidR="00766FF5" w:rsidRPr="00A800E0" w:rsidRDefault="00766FF5" w:rsidP="00766FF5">
      <w:pPr>
        <w:pStyle w:val="H23G"/>
        <w:ind w:left="0" w:firstLine="0"/>
      </w:pPr>
      <w:r w:rsidRPr="00A800E0">
        <w:tab/>
      </w:r>
      <w:r w:rsidRPr="00A800E0">
        <w:tab/>
        <w:t xml:space="preserve">Older persons </w:t>
      </w:r>
    </w:p>
    <w:p w14:paraId="2845636C" w14:textId="2C34C1F4" w:rsidR="00766FF5" w:rsidRPr="00A800E0" w:rsidRDefault="006F0E17" w:rsidP="006F0E17">
      <w:pPr>
        <w:pStyle w:val="SingleTxtG"/>
      </w:pPr>
      <w:r w:rsidRPr="00A800E0">
        <w:rPr>
          <w:rFonts w:asciiTheme="majorBidi" w:hAnsiTheme="majorBidi" w:cstheme="majorBidi"/>
        </w:rPr>
        <w:t>48.</w:t>
      </w:r>
      <w:r w:rsidRPr="00A800E0">
        <w:rPr>
          <w:rFonts w:asciiTheme="majorBidi" w:hAnsiTheme="majorBidi" w:cstheme="majorBidi"/>
        </w:rPr>
        <w:tab/>
      </w:r>
      <w:r w:rsidR="00766FF5" w:rsidRPr="00A800E0">
        <w:t>Older persons with disabilities have been exposed to neglect and abandonment, including in institutions. Disability stigmatization frequently results in the abandonment and abuse of older women with disabilities and persons with psychosocial disabilities. Older women with disabilities face intersecting forms of violence;</w:t>
      </w:r>
      <w:r w:rsidR="00766FF5" w:rsidRPr="00A800E0">
        <w:rPr>
          <w:rStyle w:val="FootnoteReference"/>
        </w:rPr>
        <w:footnoteReference w:id="25"/>
      </w:r>
      <w:r w:rsidR="00766FF5" w:rsidRPr="00A800E0">
        <w:t xml:space="preserve"> economic dependency due to disability, gender roles, age and other factors heighten their risks of abuse and institutionalization.</w:t>
      </w:r>
      <w:r w:rsidR="00766FF5" w:rsidRPr="00A800E0">
        <w:rPr>
          <w:rStyle w:val="FootnoteReference"/>
        </w:rPr>
        <w:footnoteReference w:id="26"/>
      </w:r>
    </w:p>
    <w:p w14:paraId="0903E434" w14:textId="77777777" w:rsidR="00766FF5" w:rsidRPr="00A800E0" w:rsidRDefault="00766FF5" w:rsidP="00766FF5">
      <w:pPr>
        <w:pStyle w:val="H23G"/>
      </w:pPr>
      <w:r w:rsidRPr="00A800E0">
        <w:tab/>
      </w:r>
      <w:r w:rsidRPr="00A800E0">
        <w:tab/>
        <w:t>Autistic persons</w:t>
      </w:r>
    </w:p>
    <w:p w14:paraId="75565AAE" w14:textId="78DB4468" w:rsidR="00766FF5" w:rsidRPr="00A800E0" w:rsidRDefault="006F0E17" w:rsidP="006F0E17">
      <w:pPr>
        <w:pStyle w:val="SingleTxtG"/>
      </w:pPr>
      <w:r w:rsidRPr="00A800E0">
        <w:rPr>
          <w:rFonts w:asciiTheme="majorBidi" w:hAnsiTheme="majorBidi" w:cstheme="majorBidi"/>
        </w:rPr>
        <w:t>49.</w:t>
      </w:r>
      <w:r w:rsidRPr="00A800E0">
        <w:rPr>
          <w:rFonts w:asciiTheme="majorBidi" w:hAnsiTheme="majorBidi" w:cstheme="majorBidi"/>
        </w:rPr>
        <w:tab/>
      </w:r>
      <w:r w:rsidR="00766FF5" w:rsidRPr="00A800E0">
        <w:t xml:space="preserve">Autistic children are often subjected to bullying, seclusion and restraint in schools; false cures and treatments, such as the use of extreme diets, chelation or bleach; coercive behavioural treatments to </w:t>
      </w:r>
      <w:r w:rsidR="00441B88">
        <w:t>“</w:t>
      </w:r>
      <w:r w:rsidR="00766FF5" w:rsidRPr="00A800E0">
        <w:t>normalize</w:t>
      </w:r>
      <w:r w:rsidR="00441B88">
        <w:t>”</w:t>
      </w:r>
      <w:r w:rsidR="00766FF5" w:rsidRPr="00A800E0">
        <w:t xml:space="preserve"> behaviour; neglect; filicide; and other types of violence. Autistic adults are also harassed on the basis of perceived deviation from gender and heterosexist norms. Autistic women can be perceived as masculine or queer for wearing clothing that helps them to manage sensory sensitivities. The violence faced also includes threats, verbal violence and infantilization. Misunderstandings and the lack of support for autistic persons increase their risk of being subjected to violence and institutionalization.</w:t>
      </w:r>
    </w:p>
    <w:p w14:paraId="0CE1C378" w14:textId="77777777" w:rsidR="00766FF5" w:rsidRPr="00A800E0" w:rsidRDefault="00766FF5" w:rsidP="00766FF5">
      <w:pPr>
        <w:pStyle w:val="H23G"/>
      </w:pPr>
      <w:r w:rsidRPr="00A800E0">
        <w:tab/>
      </w:r>
      <w:r w:rsidRPr="00A800E0">
        <w:tab/>
        <w:t xml:space="preserve">Indigenous persons and people of African descent </w:t>
      </w:r>
    </w:p>
    <w:p w14:paraId="4C14889E" w14:textId="5F8DB30B" w:rsidR="00766FF5" w:rsidRPr="00A800E0" w:rsidRDefault="006F0E17" w:rsidP="006F0E17">
      <w:pPr>
        <w:pStyle w:val="SingleTxtG"/>
      </w:pPr>
      <w:r w:rsidRPr="00A800E0">
        <w:rPr>
          <w:rFonts w:asciiTheme="majorBidi" w:hAnsiTheme="majorBidi" w:cstheme="majorBidi"/>
        </w:rPr>
        <w:t>50.</w:t>
      </w:r>
      <w:r w:rsidRPr="00A800E0">
        <w:rPr>
          <w:rFonts w:asciiTheme="majorBidi" w:hAnsiTheme="majorBidi" w:cstheme="majorBidi"/>
        </w:rPr>
        <w:tab/>
      </w:r>
      <w:r w:rsidR="00766FF5" w:rsidRPr="00A800E0">
        <w:t>Indigenous persons and people of African descent with disabilities are exposed to increased risks of violence, including risks in prison owing to prolonged solitary confinement and limited access to justice.</w:t>
      </w:r>
      <w:r w:rsidR="00766FF5" w:rsidRPr="00A800E0">
        <w:rPr>
          <w:vertAlign w:val="superscript"/>
        </w:rPr>
        <w:footnoteReference w:id="27"/>
      </w:r>
      <w:r w:rsidR="00766FF5" w:rsidRPr="00A800E0">
        <w:t xml:space="preserve"> Some Indigenous women with disabilities have experienced sexual violence, including rape and sexual abuse in institutions and marital rape. </w:t>
      </w:r>
    </w:p>
    <w:p w14:paraId="4AC9EDD0" w14:textId="77777777" w:rsidR="00766FF5" w:rsidRPr="00A800E0" w:rsidRDefault="00766FF5" w:rsidP="00766FF5">
      <w:pPr>
        <w:pStyle w:val="H23G"/>
      </w:pPr>
      <w:r w:rsidRPr="00A800E0">
        <w:lastRenderedPageBreak/>
        <w:tab/>
      </w:r>
      <w:r w:rsidRPr="00A800E0">
        <w:tab/>
        <w:t xml:space="preserve">Internally displaced persons, migrants, stateless persons, asylum-seekers and refugees </w:t>
      </w:r>
    </w:p>
    <w:p w14:paraId="3FB52B4A" w14:textId="5981EF9C" w:rsidR="00766FF5" w:rsidRPr="00A800E0" w:rsidRDefault="006F0E17" w:rsidP="006F0E17">
      <w:pPr>
        <w:pStyle w:val="SingleTxtG"/>
      </w:pPr>
      <w:r w:rsidRPr="00A800E0">
        <w:rPr>
          <w:rFonts w:asciiTheme="majorBidi" w:hAnsiTheme="majorBidi" w:cstheme="majorBidi"/>
        </w:rPr>
        <w:t>51.</w:t>
      </w:r>
      <w:r w:rsidRPr="00A800E0">
        <w:rPr>
          <w:rFonts w:asciiTheme="majorBidi" w:hAnsiTheme="majorBidi" w:cstheme="majorBidi"/>
        </w:rPr>
        <w:tab/>
      </w:r>
      <w:r w:rsidR="00766FF5" w:rsidRPr="00A800E0">
        <w:t>Disability-based violence may trigger forced displacement and migration, and may amount to persecution and thus may be a ground for asylum. Internally displaced persons, migrants, stateless persons, asylum-seekers and refugees with disabilities face heightened risks of disability-based violence and gender-based violence, psychological violence, exploitation, arbitrary detention, institutionalization, trafficking and disappearance. In these contexts, persons with disabilities are exposed to intersectional discrimination, structural exclusion and limited access to information, support and disability-responsive measures.</w:t>
      </w:r>
      <w:r w:rsidR="00766FF5" w:rsidRPr="00A800E0">
        <w:rPr>
          <w:rStyle w:val="FootnoteReference"/>
        </w:rPr>
        <w:footnoteReference w:id="28"/>
      </w:r>
      <w:r w:rsidR="00766FF5" w:rsidRPr="00A800E0">
        <w:t xml:space="preserve"> Failure to implement deinstitutionalization exacerbates the risks of violence during emergencies.</w:t>
      </w:r>
      <w:r w:rsidR="00766FF5" w:rsidRPr="00A800E0">
        <w:rPr>
          <w:rStyle w:val="FootnoteReference"/>
        </w:rPr>
        <w:footnoteReference w:id="29"/>
      </w:r>
      <w:r w:rsidR="00766FF5" w:rsidRPr="00A800E0">
        <w:t xml:space="preserve"> </w:t>
      </w:r>
    </w:p>
    <w:p w14:paraId="244A90D9" w14:textId="77777777" w:rsidR="00766FF5" w:rsidRPr="00A800E0" w:rsidRDefault="00766FF5" w:rsidP="00766FF5">
      <w:pPr>
        <w:pStyle w:val="H23G"/>
      </w:pPr>
      <w:r w:rsidRPr="00A800E0">
        <w:tab/>
      </w:r>
      <w:r w:rsidRPr="00A800E0">
        <w:tab/>
        <w:t>Persons with disabilities living in poverty</w:t>
      </w:r>
    </w:p>
    <w:p w14:paraId="5BA39BF0" w14:textId="400752DB" w:rsidR="00766FF5" w:rsidRPr="00A800E0" w:rsidRDefault="006F0E17" w:rsidP="006F0E17">
      <w:pPr>
        <w:pStyle w:val="SingleTxtG"/>
      </w:pPr>
      <w:r w:rsidRPr="00A800E0">
        <w:rPr>
          <w:rFonts w:asciiTheme="majorBidi" w:hAnsiTheme="majorBidi" w:cstheme="majorBidi"/>
        </w:rPr>
        <w:t>52.</w:t>
      </w:r>
      <w:r w:rsidRPr="00A800E0">
        <w:rPr>
          <w:rFonts w:asciiTheme="majorBidi" w:hAnsiTheme="majorBidi" w:cstheme="majorBidi"/>
        </w:rPr>
        <w:tab/>
      </w:r>
      <w:r w:rsidR="00766FF5" w:rsidRPr="00A800E0">
        <w:t>Poverty creates and perpetuates conditions that enable disability-based violence through exclusion, stigmatization, isolation and harassment. Poverty and social exclusion, including in rural and remote areas, increase dependency and the risks of violence, including trafficking. Persons with disabilities living in extreme poverty or homelessness are often subjected to institutionalization instead of being provided with support and accessible services in the community.</w:t>
      </w:r>
      <w:r w:rsidR="00766FF5" w:rsidRPr="00A800E0">
        <w:rPr>
          <w:rStyle w:val="FootnoteReference"/>
        </w:rPr>
        <w:footnoteReference w:id="30"/>
      </w:r>
    </w:p>
    <w:p w14:paraId="2EA22E7D" w14:textId="77777777" w:rsidR="00766FF5" w:rsidRPr="00A800E0" w:rsidRDefault="00766FF5" w:rsidP="00766FF5">
      <w:pPr>
        <w:pStyle w:val="H23G"/>
      </w:pPr>
      <w:r w:rsidRPr="00A800E0">
        <w:tab/>
      </w:r>
      <w:r w:rsidRPr="00A800E0">
        <w:tab/>
        <w:t>Recommendations relating to intersectional discrimination and violence</w:t>
      </w:r>
    </w:p>
    <w:p w14:paraId="1EDE4542" w14:textId="7E487EBB" w:rsidR="00766FF5" w:rsidRPr="00A800E0" w:rsidRDefault="006F0E17" w:rsidP="006F0E17">
      <w:pPr>
        <w:pStyle w:val="SingleTxtG"/>
      </w:pPr>
      <w:r w:rsidRPr="00A800E0">
        <w:rPr>
          <w:rFonts w:asciiTheme="majorBidi" w:hAnsiTheme="majorBidi" w:cstheme="majorBidi"/>
        </w:rPr>
        <w:t>53.</w:t>
      </w:r>
      <w:r w:rsidRPr="00A800E0">
        <w:rPr>
          <w:rFonts w:asciiTheme="majorBidi" w:hAnsiTheme="majorBidi" w:cstheme="majorBidi"/>
        </w:rPr>
        <w:tab/>
      </w:r>
      <w:r w:rsidR="00766FF5" w:rsidRPr="00A800E0">
        <w:rPr>
          <w:b/>
          <w:bCs/>
        </w:rPr>
        <w:t>States Parties should:</w:t>
      </w:r>
    </w:p>
    <w:p w14:paraId="5013B244" w14:textId="03599ACE" w:rsidR="00766FF5" w:rsidRPr="00A800E0" w:rsidRDefault="002E2A72" w:rsidP="002E2A72">
      <w:pPr>
        <w:pStyle w:val="SingleTxtG"/>
        <w:rPr>
          <w:b/>
          <w:bCs/>
        </w:rPr>
      </w:pPr>
      <w:r w:rsidRPr="00A800E0">
        <w:tab/>
      </w:r>
      <w:r w:rsidR="00766FF5" w:rsidRPr="00A800E0">
        <w:t>(a)</w:t>
      </w:r>
      <w:r w:rsidR="00766FF5" w:rsidRPr="00A800E0">
        <w:rPr>
          <w:b/>
          <w:bCs/>
        </w:rPr>
        <w:tab/>
        <w:t>Recognize violence experienced by women and girls with disabilities as both disability-based violence and gender-based violence;</w:t>
      </w:r>
    </w:p>
    <w:p w14:paraId="1EAACAE0" w14:textId="59F1481C" w:rsidR="00766FF5" w:rsidRPr="00A800E0" w:rsidRDefault="002E2A72" w:rsidP="002E2A72">
      <w:pPr>
        <w:pStyle w:val="SingleTxtG"/>
        <w:rPr>
          <w:b/>
          <w:bCs/>
        </w:rPr>
      </w:pPr>
      <w:r w:rsidRPr="00A800E0">
        <w:tab/>
      </w:r>
      <w:r w:rsidR="00766FF5" w:rsidRPr="00A800E0">
        <w:t>(b)</w:t>
      </w:r>
      <w:r w:rsidR="00766FF5" w:rsidRPr="00A800E0">
        <w:tab/>
      </w:r>
      <w:r w:rsidR="00766FF5" w:rsidRPr="00A800E0">
        <w:rPr>
          <w:b/>
          <w:bCs/>
        </w:rPr>
        <w:t xml:space="preserve">Acknowledge the amplified impact of intersectional discrimination on disability-based violence and </w:t>
      </w:r>
      <w:r w:rsidR="00766FF5" w:rsidRPr="00A800E0">
        <w:rPr>
          <w:rFonts w:eastAsia="Aptos"/>
          <w:b/>
          <w:bCs/>
        </w:rPr>
        <w:t>identify, combat and eliminate the ableism, patriarchal systems, sexism, ageism, sanism, cissexism, audism and racism underpinning disability</w:t>
      </w:r>
      <w:r w:rsidR="00441B88">
        <w:rPr>
          <w:rFonts w:eastAsia="Aptos"/>
          <w:b/>
          <w:bCs/>
        </w:rPr>
        <w:noBreakHyphen/>
      </w:r>
      <w:r w:rsidR="00766FF5" w:rsidRPr="00A800E0">
        <w:rPr>
          <w:rFonts w:eastAsia="Aptos"/>
          <w:b/>
          <w:bCs/>
        </w:rPr>
        <w:t>based violence against persons with disabilities holding several identities</w:t>
      </w:r>
      <w:r w:rsidR="00766FF5" w:rsidRPr="00A800E0">
        <w:rPr>
          <w:b/>
          <w:bCs/>
        </w:rPr>
        <w:t>;</w:t>
      </w:r>
    </w:p>
    <w:p w14:paraId="1935A3A2" w14:textId="14650EC6" w:rsidR="00766FF5" w:rsidRPr="00A800E0" w:rsidRDefault="002E2A72" w:rsidP="002E2A72">
      <w:pPr>
        <w:pStyle w:val="SingleTxtG"/>
        <w:rPr>
          <w:b/>
          <w:bCs/>
        </w:rPr>
      </w:pPr>
      <w:r w:rsidRPr="00A800E0">
        <w:tab/>
      </w:r>
      <w:r w:rsidR="00766FF5" w:rsidRPr="00A800E0">
        <w:t>(c)</w:t>
      </w:r>
      <w:r w:rsidR="00766FF5" w:rsidRPr="00A800E0">
        <w:tab/>
      </w:r>
      <w:r w:rsidR="00766FF5" w:rsidRPr="00A800E0">
        <w:rPr>
          <w:b/>
          <w:bCs/>
        </w:rPr>
        <w:t>Combat disability-based discrimination, including by ensuring that legislation and policies address intersectional discrimination and violence</w:t>
      </w:r>
      <w:r w:rsidR="00766FF5" w:rsidRPr="00A800E0">
        <w:rPr>
          <w:rFonts w:eastAsia="Times New Roman"/>
          <w:b/>
          <w:bCs/>
          <w:lang w:eastAsia="ru-RU"/>
        </w:rPr>
        <w:t>;</w:t>
      </w:r>
    </w:p>
    <w:p w14:paraId="39D3306E" w14:textId="03F4843F" w:rsidR="00766FF5" w:rsidRPr="00A800E0" w:rsidRDefault="002E2A72" w:rsidP="002E2A72">
      <w:pPr>
        <w:pStyle w:val="SingleTxtG"/>
      </w:pPr>
      <w:r w:rsidRPr="00A800E0">
        <w:tab/>
      </w:r>
      <w:r w:rsidR="00766FF5" w:rsidRPr="00A800E0">
        <w:t>(d)</w:t>
      </w:r>
      <w:r w:rsidR="00766FF5" w:rsidRPr="00A800E0">
        <w:tab/>
      </w:r>
      <w:r w:rsidR="00766FF5" w:rsidRPr="00A800E0">
        <w:rPr>
          <w:rFonts w:eastAsia="Aptos"/>
          <w:b/>
          <w:bCs/>
        </w:rPr>
        <w:t xml:space="preserve">Conduct research, and adopt robust systems for collecting disaggregated data, </w:t>
      </w:r>
      <w:r w:rsidR="00766FF5" w:rsidRPr="00A800E0">
        <w:rPr>
          <w:b/>
          <w:bCs/>
        </w:rPr>
        <w:t xml:space="preserve">on intersecting forms of violence against persons with disabilities in order to inform public decision-making. </w:t>
      </w:r>
    </w:p>
    <w:p w14:paraId="75F5B6BD" w14:textId="77777777" w:rsidR="00766FF5" w:rsidRPr="00A800E0" w:rsidRDefault="00766FF5" w:rsidP="00766FF5">
      <w:pPr>
        <w:pStyle w:val="H1G"/>
      </w:pPr>
      <w:r w:rsidRPr="00A800E0">
        <w:rPr>
          <w:sz w:val="28"/>
          <w:szCs w:val="28"/>
        </w:rPr>
        <w:tab/>
        <w:t>D.</w:t>
      </w:r>
      <w:r w:rsidRPr="00A800E0">
        <w:rPr>
          <w:sz w:val="28"/>
          <w:szCs w:val="28"/>
        </w:rPr>
        <w:tab/>
      </w:r>
      <w:r w:rsidRPr="00A800E0">
        <w:t xml:space="preserve">Patterns of disability-based violence </w:t>
      </w:r>
    </w:p>
    <w:p w14:paraId="6E705523" w14:textId="77777777" w:rsidR="00766FF5" w:rsidRPr="00A800E0" w:rsidRDefault="00766FF5" w:rsidP="00766FF5">
      <w:pPr>
        <w:pStyle w:val="H23G"/>
      </w:pPr>
      <w:r w:rsidRPr="00A800E0">
        <w:tab/>
        <w:t>1.</w:t>
      </w:r>
      <w:r w:rsidRPr="00A800E0">
        <w:tab/>
        <w:t xml:space="preserve">Psychiatric violence </w:t>
      </w:r>
    </w:p>
    <w:p w14:paraId="667F0FE1" w14:textId="4CFF6EBF" w:rsidR="00766FF5" w:rsidRPr="00A800E0" w:rsidRDefault="006F0E17" w:rsidP="006F0E17">
      <w:pPr>
        <w:pStyle w:val="SingleTxtG"/>
      </w:pPr>
      <w:r w:rsidRPr="00A800E0">
        <w:rPr>
          <w:rFonts w:asciiTheme="majorBidi" w:hAnsiTheme="majorBidi" w:cstheme="majorBidi"/>
        </w:rPr>
        <w:t>54.</w:t>
      </w:r>
      <w:r w:rsidRPr="00A800E0">
        <w:rPr>
          <w:rFonts w:asciiTheme="majorBidi" w:hAnsiTheme="majorBidi" w:cstheme="majorBidi"/>
        </w:rPr>
        <w:tab/>
      </w:r>
      <w:r w:rsidR="00766FF5" w:rsidRPr="00A800E0">
        <w:t>Psychiatric violence is a form of disability-based and structural violence driven by the powers conferred on mental health professionals, including psychiatrists, to use confinement, segregation and non-consensual interventions. It is rooted in the medical model and therapeutic approaches concerning persons with disabilities that deem psychiatric treatment to be one of the main responses for persons with psychosocial disabilities.</w:t>
      </w:r>
      <w:r w:rsidR="00766FF5" w:rsidRPr="00A800E0">
        <w:rPr>
          <w:b/>
          <w:bCs/>
        </w:rPr>
        <w:t xml:space="preserve"> </w:t>
      </w:r>
    </w:p>
    <w:p w14:paraId="339127CB" w14:textId="37623105" w:rsidR="00766FF5" w:rsidRPr="00A800E0" w:rsidRDefault="006F0E17" w:rsidP="006F0E17">
      <w:pPr>
        <w:pStyle w:val="SingleTxtG"/>
      </w:pPr>
      <w:r w:rsidRPr="00A800E0">
        <w:rPr>
          <w:rFonts w:asciiTheme="majorBidi" w:hAnsiTheme="majorBidi" w:cstheme="majorBidi"/>
        </w:rPr>
        <w:t>55.</w:t>
      </w:r>
      <w:r w:rsidRPr="00A800E0">
        <w:rPr>
          <w:rFonts w:asciiTheme="majorBidi" w:hAnsiTheme="majorBidi" w:cstheme="majorBidi"/>
        </w:rPr>
        <w:tab/>
      </w:r>
      <w:r w:rsidR="00766FF5" w:rsidRPr="00A800E0">
        <w:t>Psychiatric violence encompasses violent acts, omissions or patterns of conduct perpetrated, authorized or legitimized under laws, policies or practices pertaining to mental health systems. Acts of psychiatric violence violate the rights to equal recognition before the law, to liberty and security of the person and to the integrity of the person, and obligations under article 15 of the Convention, and may amount to torture or cruel, inhuman or degrading treatment.</w:t>
      </w:r>
    </w:p>
    <w:p w14:paraId="62B076A7" w14:textId="1959ADEE" w:rsidR="00766FF5" w:rsidRPr="00A800E0" w:rsidRDefault="006F0E17" w:rsidP="006F0E17">
      <w:pPr>
        <w:pStyle w:val="SingleTxtG"/>
      </w:pPr>
      <w:r w:rsidRPr="00A800E0">
        <w:rPr>
          <w:rFonts w:asciiTheme="majorBidi" w:hAnsiTheme="majorBidi" w:cstheme="majorBidi"/>
        </w:rPr>
        <w:lastRenderedPageBreak/>
        <w:t>56.</w:t>
      </w:r>
      <w:r w:rsidRPr="00A800E0">
        <w:rPr>
          <w:rFonts w:asciiTheme="majorBidi" w:hAnsiTheme="majorBidi" w:cstheme="majorBidi"/>
        </w:rPr>
        <w:tab/>
      </w:r>
      <w:r w:rsidR="00766FF5" w:rsidRPr="00A800E0">
        <w:t>Psychiatric violence emerges from ableism and sanism and results from the pathologization of forms of distress, consciousness, emotional expression, children</w:t>
      </w:r>
      <w:r w:rsidR="00441B88">
        <w:t>’</w:t>
      </w:r>
      <w:r w:rsidR="00766FF5" w:rsidRPr="00A800E0">
        <w:t>s development (whether ordinary or divergent), life-cycle events, behaviour or decision</w:t>
      </w:r>
      <w:r w:rsidR="009042B1" w:rsidRPr="00A800E0">
        <w:noBreakHyphen/>
      </w:r>
      <w:r w:rsidR="00766FF5" w:rsidRPr="00A800E0">
        <w:t xml:space="preserve">making portrayed as </w:t>
      </w:r>
      <w:r w:rsidR="00441B88">
        <w:t>“</w:t>
      </w:r>
      <w:r w:rsidR="00766FF5" w:rsidRPr="00A800E0">
        <w:t>mental health disorders</w:t>
      </w:r>
      <w:r w:rsidR="00441B88">
        <w:t>”</w:t>
      </w:r>
      <w:r w:rsidR="00766FF5" w:rsidRPr="00A800E0">
        <w:t xml:space="preserve"> or evidence of </w:t>
      </w:r>
      <w:r w:rsidR="00441B88">
        <w:t>“</w:t>
      </w:r>
      <w:r w:rsidR="00766FF5" w:rsidRPr="00A800E0">
        <w:t>unsound mind</w:t>
      </w:r>
      <w:r w:rsidR="00441B88">
        <w:t>”</w:t>
      </w:r>
      <w:r w:rsidR="00766FF5" w:rsidRPr="00A800E0">
        <w:t>. It is rooted in society</w:t>
      </w:r>
      <w:r w:rsidR="00441B88">
        <w:t>’</w:t>
      </w:r>
      <w:r w:rsidR="00766FF5" w:rsidRPr="00A800E0">
        <w:t xml:space="preserve">s intolerance of </w:t>
      </w:r>
      <w:r w:rsidR="00441B88">
        <w:t>“</w:t>
      </w:r>
      <w:r w:rsidR="00766FF5" w:rsidRPr="00A800E0">
        <w:t>madness</w:t>
      </w:r>
      <w:r w:rsidR="00441B88">
        <w:t>”</w:t>
      </w:r>
      <w:r w:rsidR="00766FF5" w:rsidRPr="00A800E0">
        <w:t xml:space="preserve">/intense emotional distress and unusual perceptions. Such intolerance leads to psychiatric violence when it takes the form of a medical and therapeutic approach to </w:t>
      </w:r>
      <w:r w:rsidR="00441B88">
        <w:t>“</w:t>
      </w:r>
      <w:r w:rsidR="00766FF5" w:rsidRPr="00A800E0">
        <w:t>correcting</w:t>
      </w:r>
      <w:r w:rsidR="00441B88">
        <w:t>”</w:t>
      </w:r>
      <w:r w:rsidR="00766FF5" w:rsidRPr="00A800E0">
        <w:t xml:space="preserve"> or </w:t>
      </w:r>
      <w:r w:rsidR="00441B88">
        <w:t>“</w:t>
      </w:r>
      <w:r w:rsidR="00766FF5" w:rsidRPr="00A800E0">
        <w:t>treating</w:t>
      </w:r>
      <w:r w:rsidR="00441B88">
        <w:t>”</w:t>
      </w:r>
      <w:r w:rsidR="00766FF5" w:rsidRPr="00A800E0">
        <w:t xml:space="preserve"> psychosocial diversity through medical interventions imposed whether or not the person consents. Therapeutic need, medical necessity and </w:t>
      </w:r>
      <w:r w:rsidR="00441B88">
        <w:t>“</w:t>
      </w:r>
      <w:r w:rsidR="00766FF5" w:rsidRPr="00A800E0">
        <w:t>best interests</w:t>
      </w:r>
      <w:r w:rsidR="00441B88">
        <w:t>”</w:t>
      </w:r>
      <w:r w:rsidR="00766FF5" w:rsidRPr="00A800E0">
        <w:t xml:space="preserve"> constitute prevalent grounds for overriding the rights, will and preference of adults with disabilities or justifying coercion.</w:t>
      </w:r>
    </w:p>
    <w:p w14:paraId="26C4D1B1" w14:textId="70BF878F" w:rsidR="00766FF5" w:rsidRPr="00A800E0" w:rsidRDefault="006F0E17" w:rsidP="006F0E17">
      <w:pPr>
        <w:pStyle w:val="SingleTxtG"/>
      </w:pPr>
      <w:r w:rsidRPr="00A800E0">
        <w:rPr>
          <w:rFonts w:asciiTheme="majorBidi" w:hAnsiTheme="majorBidi" w:cstheme="majorBidi"/>
        </w:rPr>
        <w:t>57.</w:t>
      </w:r>
      <w:r w:rsidRPr="00A800E0">
        <w:rPr>
          <w:rFonts w:asciiTheme="majorBidi" w:hAnsiTheme="majorBidi" w:cstheme="majorBidi"/>
        </w:rPr>
        <w:tab/>
      </w:r>
      <w:r w:rsidR="00766FF5" w:rsidRPr="00A800E0">
        <w:t xml:space="preserve">Psychiatric violence manifests in the widespread use of coercion, including forced treatment, forced medication and forced institutionalization. It includes the physical acts of detaining persons against their will in a mental health setting, the use of physical, mechanical and chemical restraints, and forcing someone to take mind-altering drugs or undergo electroshock. It also encompasses seclusion, forced abortion, sterilization or contraception, and physical and sexual assault and poor living conditions in institutions. </w:t>
      </w:r>
    </w:p>
    <w:p w14:paraId="67AD31CA" w14:textId="2C7DCA1D" w:rsidR="00766FF5" w:rsidRPr="00A800E0" w:rsidRDefault="006F0E17" w:rsidP="006F0E17">
      <w:pPr>
        <w:pStyle w:val="SingleTxtG"/>
      </w:pPr>
      <w:r w:rsidRPr="00A800E0">
        <w:rPr>
          <w:rFonts w:asciiTheme="majorBidi" w:hAnsiTheme="majorBidi" w:cstheme="majorBidi"/>
        </w:rPr>
        <w:t>58.</w:t>
      </w:r>
      <w:r w:rsidRPr="00A800E0">
        <w:rPr>
          <w:rFonts w:asciiTheme="majorBidi" w:hAnsiTheme="majorBidi" w:cstheme="majorBidi"/>
        </w:rPr>
        <w:tab/>
      </w:r>
      <w:r w:rsidR="00766FF5" w:rsidRPr="00A800E0">
        <w:t xml:space="preserve">The perception of dangerousness and the use of coercion in individual crises increases harm. When community-based support, including non-medical options, are not available or are underdeveloped, psychiatric violence is reinforced. </w:t>
      </w:r>
    </w:p>
    <w:p w14:paraId="7A5BFEF3" w14:textId="0BE0071E" w:rsidR="00766FF5" w:rsidRPr="00A800E0" w:rsidRDefault="006F0E17" w:rsidP="006F0E17">
      <w:pPr>
        <w:pStyle w:val="SingleTxtG"/>
      </w:pPr>
      <w:r w:rsidRPr="00A800E0">
        <w:rPr>
          <w:rFonts w:asciiTheme="majorBidi" w:hAnsiTheme="majorBidi" w:cstheme="majorBidi"/>
        </w:rPr>
        <w:t>59.</w:t>
      </w:r>
      <w:r w:rsidRPr="00A800E0">
        <w:rPr>
          <w:rFonts w:asciiTheme="majorBidi" w:hAnsiTheme="majorBidi" w:cstheme="majorBidi"/>
        </w:rPr>
        <w:tab/>
      </w:r>
      <w:r w:rsidR="00766FF5" w:rsidRPr="00A800E0">
        <w:t xml:space="preserve">Psychiatric violence is usually carried out by the staff of institutions or outpatient mental health services acting under the authority of psychiatrists; such authority is often provided for in mental health legislation, in health legislation (in relation to medical emergency exceptions), in criminal justice laws or in guardianship laws. </w:t>
      </w:r>
    </w:p>
    <w:p w14:paraId="3650B80C" w14:textId="74416581" w:rsidR="00766FF5" w:rsidRPr="00A800E0" w:rsidRDefault="006F0E17" w:rsidP="006F0E17">
      <w:pPr>
        <w:pStyle w:val="SingleTxtG"/>
      </w:pPr>
      <w:r w:rsidRPr="00A800E0">
        <w:rPr>
          <w:rFonts w:asciiTheme="majorBidi" w:hAnsiTheme="majorBidi" w:cstheme="majorBidi"/>
        </w:rPr>
        <w:t>60.</w:t>
      </w:r>
      <w:r w:rsidRPr="00A800E0">
        <w:rPr>
          <w:rFonts w:asciiTheme="majorBidi" w:hAnsiTheme="majorBidi" w:cstheme="majorBidi"/>
        </w:rPr>
        <w:tab/>
      </w:r>
      <w:r w:rsidR="00766FF5" w:rsidRPr="00A800E0">
        <w:t xml:space="preserve">By turning private thoughts and behaviour into objects for medical observation and assessment, psychiatric violence places individuals in an inferior position not only in relation to psychiatrists and mental health staff, but also in relation to the community, reinforcing ableism and sanism. </w:t>
      </w:r>
    </w:p>
    <w:p w14:paraId="51B1834B" w14:textId="28021DE3" w:rsidR="00766FF5" w:rsidRPr="00A800E0" w:rsidRDefault="006F0E17" w:rsidP="006F0E17">
      <w:pPr>
        <w:pStyle w:val="SingleTxtG"/>
      </w:pPr>
      <w:r w:rsidRPr="00A800E0">
        <w:rPr>
          <w:rFonts w:asciiTheme="majorBidi" w:hAnsiTheme="majorBidi" w:cstheme="majorBidi"/>
        </w:rPr>
        <w:t>61.</w:t>
      </w:r>
      <w:r w:rsidRPr="00A800E0">
        <w:rPr>
          <w:rFonts w:asciiTheme="majorBidi" w:hAnsiTheme="majorBidi" w:cstheme="majorBidi"/>
        </w:rPr>
        <w:tab/>
      </w:r>
      <w:r w:rsidR="00766FF5" w:rsidRPr="00A800E0">
        <w:t>The reliance on psychiatry and mental health services, coupled with a lack of supports respectful of individual autonomy, deprives persons experiencing crisis, intense distress or unusual perceptions of needed support and relegates them instead to repeated cycles of violence.</w:t>
      </w:r>
    </w:p>
    <w:p w14:paraId="2206B368" w14:textId="01F17AD6" w:rsidR="00766FF5" w:rsidRPr="00A800E0" w:rsidRDefault="006F0E17" w:rsidP="006F0E17">
      <w:pPr>
        <w:pStyle w:val="SingleTxtG"/>
        <w:rPr>
          <w:b/>
          <w:bCs/>
        </w:rPr>
      </w:pPr>
      <w:r w:rsidRPr="00A800E0">
        <w:rPr>
          <w:rFonts w:asciiTheme="majorBidi" w:hAnsiTheme="majorBidi" w:cstheme="majorBidi"/>
        </w:rPr>
        <w:t>62.</w:t>
      </w:r>
      <w:r w:rsidRPr="00A800E0">
        <w:rPr>
          <w:rFonts w:asciiTheme="majorBidi" w:hAnsiTheme="majorBidi" w:cstheme="majorBidi"/>
        </w:rPr>
        <w:tab/>
      </w:r>
      <w:r w:rsidR="00766FF5" w:rsidRPr="00A800E0">
        <w:rPr>
          <w:b/>
          <w:bCs/>
        </w:rPr>
        <w:t>States Parties should:</w:t>
      </w:r>
    </w:p>
    <w:p w14:paraId="761D6A7B" w14:textId="5EB78E6D" w:rsidR="00766FF5" w:rsidRPr="00A800E0" w:rsidRDefault="005E5252" w:rsidP="005E5252">
      <w:pPr>
        <w:pStyle w:val="SingleTxtG"/>
        <w:rPr>
          <w:b/>
          <w:bCs/>
        </w:rPr>
      </w:pPr>
      <w:r w:rsidRPr="00A800E0">
        <w:tab/>
      </w:r>
      <w:r w:rsidR="00766FF5" w:rsidRPr="00A800E0">
        <w:t>(a)</w:t>
      </w:r>
      <w:r w:rsidR="00766FF5" w:rsidRPr="00A800E0">
        <w:rPr>
          <w:b/>
          <w:bCs/>
        </w:rPr>
        <w:tab/>
        <w:t xml:space="preserve">Eliminate coercion in law and in practice, including by prohibiting legal authorization for non-consensual and forced intervention and ending non-consensual interventions, provide emergency assistance for leaving places where these practices are carried out, and provide effective remedies, redress and reparation; </w:t>
      </w:r>
    </w:p>
    <w:p w14:paraId="618AD862" w14:textId="42DFDAA4" w:rsidR="00766FF5" w:rsidRPr="00A800E0" w:rsidRDefault="005E5252" w:rsidP="005E5252">
      <w:pPr>
        <w:pStyle w:val="SingleTxtG"/>
        <w:rPr>
          <w:b/>
          <w:bCs/>
        </w:rPr>
      </w:pPr>
      <w:r w:rsidRPr="00A800E0">
        <w:tab/>
      </w:r>
      <w:r w:rsidR="00766FF5" w:rsidRPr="00A800E0">
        <w:t>(b)</w:t>
      </w:r>
      <w:r w:rsidR="00766FF5" w:rsidRPr="00A800E0">
        <w:rPr>
          <w:b/>
          <w:bCs/>
        </w:rPr>
        <w:tab/>
        <w:t>Ensure supported decision-making and respect for the autonomy, will and preference of persons with disabilities related to their psychosocial well-being;</w:t>
      </w:r>
    </w:p>
    <w:p w14:paraId="269C106E" w14:textId="57B8521C" w:rsidR="00766FF5" w:rsidRPr="00A800E0" w:rsidRDefault="005E5252" w:rsidP="005E5252">
      <w:pPr>
        <w:pStyle w:val="SingleTxtG"/>
        <w:rPr>
          <w:b/>
          <w:bCs/>
        </w:rPr>
      </w:pPr>
      <w:r w:rsidRPr="00A800E0">
        <w:tab/>
      </w:r>
      <w:r w:rsidR="00766FF5" w:rsidRPr="00A800E0">
        <w:t>(c)</w:t>
      </w:r>
      <w:r w:rsidR="00766FF5" w:rsidRPr="00A800E0">
        <w:rPr>
          <w:b/>
          <w:bCs/>
        </w:rPr>
        <w:tab/>
        <w:t>Combat disability stigma and stereotypes related to situations of crisis or heightened distress, avoiding medicalization and pathologization, ensure that support in those situations is available outside of mental health institutional frameworks, and respect the person</w:t>
      </w:r>
      <w:r w:rsidR="00441B88">
        <w:rPr>
          <w:b/>
          <w:bCs/>
        </w:rPr>
        <w:t>’</w:t>
      </w:r>
      <w:r w:rsidR="00766FF5" w:rsidRPr="00A800E0">
        <w:rPr>
          <w:b/>
          <w:bCs/>
        </w:rPr>
        <w:t>s choice</w:t>
      </w:r>
      <w:r w:rsidR="0008680F">
        <w:rPr>
          <w:b/>
          <w:bCs/>
        </w:rPr>
        <w:t>;</w:t>
      </w:r>
    </w:p>
    <w:p w14:paraId="4C2F03DB" w14:textId="72B150DE" w:rsidR="00766FF5" w:rsidRPr="00A800E0" w:rsidRDefault="005E5252" w:rsidP="005E5252">
      <w:pPr>
        <w:pStyle w:val="SingleTxtG"/>
        <w:rPr>
          <w:b/>
          <w:bCs/>
        </w:rPr>
      </w:pPr>
      <w:r w:rsidRPr="00A800E0">
        <w:tab/>
      </w:r>
      <w:r w:rsidR="00766FF5" w:rsidRPr="00A800E0">
        <w:t>(d)</w:t>
      </w:r>
      <w:r w:rsidR="00766FF5" w:rsidRPr="00A800E0">
        <w:rPr>
          <w:b/>
          <w:bCs/>
        </w:rPr>
        <w:tab/>
        <w:t>Adopt alternatives to coercion that are community-based and that include trusted supporters chosen by the person, peer support networks, advance planning tools, communication assistance and circles of support for decision-making;</w:t>
      </w:r>
    </w:p>
    <w:p w14:paraId="42B3D5BB" w14:textId="1A3E70FF" w:rsidR="00766FF5" w:rsidRPr="00A800E0" w:rsidRDefault="005E5252" w:rsidP="005E5252">
      <w:pPr>
        <w:pStyle w:val="SingleTxtG"/>
        <w:rPr>
          <w:b/>
          <w:bCs/>
        </w:rPr>
      </w:pPr>
      <w:r w:rsidRPr="00A800E0">
        <w:tab/>
      </w:r>
      <w:r w:rsidR="00766FF5" w:rsidRPr="00A800E0">
        <w:t>(e)</w:t>
      </w:r>
      <w:r w:rsidR="00766FF5" w:rsidRPr="00A800E0">
        <w:rPr>
          <w:b/>
          <w:bCs/>
        </w:rPr>
        <w:tab/>
        <w:t xml:space="preserve">Provide training for service providers on delivering support in line with </w:t>
      </w:r>
      <w:r w:rsidR="0008680F">
        <w:rPr>
          <w:b/>
          <w:bCs/>
        </w:rPr>
        <w:t xml:space="preserve">the </w:t>
      </w:r>
      <w:r w:rsidR="00766FF5" w:rsidRPr="00A800E0">
        <w:rPr>
          <w:b/>
          <w:bCs/>
        </w:rPr>
        <w:t>Convention.</w:t>
      </w:r>
    </w:p>
    <w:p w14:paraId="081B335D" w14:textId="77777777" w:rsidR="00766FF5" w:rsidRPr="00A800E0" w:rsidRDefault="00766FF5" w:rsidP="00766FF5">
      <w:pPr>
        <w:pStyle w:val="H23G"/>
      </w:pPr>
      <w:r w:rsidRPr="00A800E0">
        <w:tab/>
        <w:t>2.</w:t>
      </w:r>
      <w:r w:rsidRPr="00A800E0">
        <w:tab/>
        <w:t>Institutionalization and disability-based violence</w:t>
      </w:r>
    </w:p>
    <w:p w14:paraId="168E34C1" w14:textId="312EB89A" w:rsidR="00766FF5" w:rsidRPr="00A800E0" w:rsidRDefault="006F0E17" w:rsidP="006F0E17">
      <w:pPr>
        <w:pStyle w:val="SingleTxtG"/>
      </w:pPr>
      <w:r w:rsidRPr="00A800E0">
        <w:rPr>
          <w:rFonts w:asciiTheme="majorBidi" w:hAnsiTheme="majorBidi" w:cstheme="majorBidi"/>
        </w:rPr>
        <w:t>63.</w:t>
      </w:r>
      <w:r w:rsidRPr="00A800E0">
        <w:rPr>
          <w:rFonts w:asciiTheme="majorBidi" w:hAnsiTheme="majorBidi" w:cstheme="majorBidi"/>
        </w:rPr>
        <w:tab/>
      </w:r>
      <w:r w:rsidR="00766FF5" w:rsidRPr="00A800E0">
        <w:t>Institutionalization on the basis of disability is a discriminatory practice and a form of disability-based violence.</w:t>
      </w:r>
      <w:r w:rsidR="00766FF5" w:rsidRPr="00A800E0">
        <w:rPr>
          <w:vertAlign w:val="superscript"/>
        </w:rPr>
        <w:footnoteReference w:id="31"/>
      </w:r>
      <w:r w:rsidR="00766FF5" w:rsidRPr="00A800E0">
        <w:t xml:space="preserve"> It involves placement in a facility, including for temporary </w:t>
      </w:r>
      <w:r w:rsidR="00441B88">
        <w:t>“</w:t>
      </w:r>
      <w:r w:rsidR="00766FF5" w:rsidRPr="00A800E0">
        <w:t xml:space="preserve">care </w:t>
      </w:r>
      <w:r w:rsidR="00766FF5" w:rsidRPr="00A800E0">
        <w:lastRenderedPageBreak/>
        <w:t>or treatment</w:t>
      </w:r>
      <w:r w:rsidR="00441B88">
        <w:t>”</w:t>
      </w:r>
      <w:r w:rsidR="00766FF5" w:rsidRPr="00A800E0">
        <w:t>, preventive detention or observation. By limiting autonomy and contact with the outside world, institutionalization increases the risk of disability-based violence.</w:t>
      </w:r>
    </w:p>
    <w:p w14:paraId="688A8BE7" w14:textId="51346338" w:rsidR="00766FF5" w:rsidRPr="00A800E0" w:rsidRDefault="006F0E17" w:rsidP="006F0E17">
      <w:pPr>
        <w:pStyle w:val="SingleTxtG"/>
      </w:pPr>
      <w:r w:rsidRPr="00A800E0">
        <w:rPr>
          <w:rFonts w:asciiTheme="majorBidi" w:hAnsiTheme="majorBidi" w:cstheme="majorBidi"/>
        </w:rPr>
        <w:t>64.</w:t>
      </w:r>
      <w:r w:rsidRPr="00A800E0">
        <w:rPr>
          <w:rFonts w:asciiTheme="majorBidi" w:hAnsiTheme="majorBidi" w:cstheme="majorBidi"/>
        </w:rPr>
        <w:tab/>
      </w:r>
      <w:r w:rsidR="00766FF5" w:rsidRPr="00A800E0">
        <w:t>Failure to ensure access to community-based support services, such as personal assistance, accessible communication and other community services, including affordable and accessible housing, accessible transport and inclusive education, perpetuates institutionalization and its harmful effects.</w:t>
      </w:r>
      <w:r w:rsidR="00766FF5" w:rsidRPr="00A800E0">
        <w:rPr>
          <w:vertAlign w:val="superscript"/>
        </w:rPr>
        <w:t xml:space="preserve"> </w:t>
      </w:r>
      <w:r w:rsidR="00766FF5" w:rsidRPr="00A800E0">
        <w:rPr>
          <w:vertAlign w:val="superscript"/>
        </w:rPr>
        <w:footnoteReference w:id="32"/>
      </w:r>
      <w:r w:rsidR="00766FF5" w:rsidRPr="00A800E0">
        <w:rPr>
          <w:vertAlign w:val="superscript"/>
        </w:rPr>
        <w:t xml:space="preserve"> </w:t>
      </w:r>
    </w:p>
    <w:p w14:paraId="26261B2D" w14:textId="3E71E222" w:rsidR="00766FF5" w:rsidRPr="00A800E0" w:rsidRDefault="006F0E17" w:rsidP="006F0E17">
      <w:pPr>
        <w:pStyle w:val="SingleTxtG"/>
      </w:pPr>
      <w:r w:rsidRPr="00A800E0">
        <w:rPr>
          <w:rFonts w:asciiTheme="majorBidi" w:hAnsiTheme="majorBidi" w:cstheme="majorBidi"/>
        </w:rPr>
        <w:t>65.</w:t>
      </w:r>
      <w:r w:rsidRPr="00A800E0">
        <w:rPr>
          <w:rFonts w:asciiTheme="majorBidi" w:hAnsiTheme="majorBidi" w:cstheme="majorBidi"/>
        </w:rPr>
        <w:tab/>
      </w:r>
      <w:r w:rsidR="00766FF5" w:rsidRPr="00A800E0">
        <w:t>Intersectional discrimination aggravates institutionalization and violence in a number of ways, including the following:</w:t>
      </w:r>
      <w:r w:rsidR="00766FF5" w:rsidRPr="00A800E0">
        <w:rPr>
          <w:rFonts w:eastAsia="Arial"/>
        </w:rPr>
        <w:t xml:space="preserve"> </w:t>
      </w:r>
    </w:p>
    <w:p w14:paraId="1EED434C" w14:textId="7B42A4A2" w:rsidR="00766FF5" w:rsidRPr="00A800E0" w:rsidRDefault="005E5252" w:rsidP="005E5252">
      <w:pPr>
        <w:pStyle w:val="SingleTxtG"/>
      </w:pPr>
      <w:r w:rsidRPr="00A800E0">
        <w:rPr>
          <w:rFonts w:eastAsia="Arial"/>
        </w:rPr>
        <w:tab/>
      </w:r>
      <w:r w:rsidR="00766FF5" w:rsidRPr="00A800E0">
        <w:rPr>
          <w:rFonts w:eastAsia="Arial"/>
        </w:rPr>
        <w:t>(a)</w:t>
      </w:r>
      <w:r w:rsidR="00766FF5" w:rsidRPr="00A800E0">
        <w:rPr>
          <w:rFonts w:eastAsia="Arial"/>
        </w:rPr>
        <w:tab/>
        <w:t xml:space="preserve">Women and girls with disabilities in institutions are often exposed to </w:t>
      </w:r>
      <w:r w:rsidR="00766FF5" w:rsidRPr="00A800E0">
        <w:t>forced nakedness, abusive body searches, sexual abuse,</w:t>
      </w:r>
      <w:r w:rsidR="00766FF5" w:rsidRPr="00A800E0">
        <w:rPr>
          <w:rFonts w:eastAsia="Arial"/>
        </w:rPr>
        <w:t xml:space="preserve"> coercion and violations of sexual and reproductive autonomy;</w:t>
      </w:r>
      <w:r w:rsidR="00766FF5" w:rsidRPr="00A800E0">
        <w:t xml:space="preserve"> </w:t>
      </w:r>
    </w:p>
    <w:p w14:paraId="0F3B8C0F" w14:textId="46B2D416" w:rsidR="00766FF5" w:rsidRPr="00A800E0" w:rsidRDefault="005E5252" w:rsidP="005E5252">
      <w:pPr>
        <w:pStyle w:val="SingleTxtG"/>
      </w:pPr>
      <w:r w:rsidRPr="00A800E0">
        <w:tab/>
      </w:r>
      <w:r w:rsidR="00766FF5" w:rsidRPr="00A800E0">
        <w:t>(b)</w:t>
      </w:r>
      <w:r w:rsidR="00766FF5" w:rsidRPr="00A800E0">
        <w:tab/>
        <w:t>Older persons with disabilities in institutions are often subjected to forced medication, restraints, isolation, abandonment and neglect;</w:t>
      </w:r>
    </w:p>
    <w:p w14:paraId="7A78DFEE" w14:textId="557F25EF" w:rsidR="00766FF5" w:rsidRPr="00A800E0" w:rsidRDefault="005E5252" w:rsidP="005E5252">
      <w:pPr>
        <w:pStyle w:val="SingleTxtG"/>
      </w:pPr>
      <w:r w:rsidRPr="00A800E0">
        <w:tab/>
      </w:r>
      <w:r w:rsidR="00766FF5" w:rsidRPr="00A800E0">
        <w:t>(c)</w:t>
      </w:r>
      <w:r w:rsidR="00766FF5" w:rsidRPr="00A800E0">
        <w:tab/>
        <w:t>Persons living in rural or remote areas are at risk of institutionalization in the absence of support and available accessible services in the community;</w:t>
      </w:r>
      <w:r w:rsidR="00766FF5" w:rsidRPr="00A800E0">
        <w:rPr>
          <w:rStyle w:val="FootnoteReference"/>
        </w:rPr>
        <w:t xml:space="preserve"> </w:t>
      </w:r>
    </w:p>
    <w:p w14:paraId="0A33AE6B" w14:textId="23529A59" w:rsidR="00766FF5" w:rsidRPr="00A800E0" w:rsidRDefault="005E5252" w:rsidP="005E5252">
      <w:pPr>
        <w:pStyle w:val="SingleTxtG"/>
      </w:pPr>
      <w:r w:rsidRPr="00A800E0">
        <w:tab/>
      </w:r>
      <w:r w:rsidR="00766FF5" w:rsidRPr="00A800E0">
        <w:t>(d)</w:t>
      </w:r>
      <w:r w:rsidR="00766FF5" w:rsidRPr="00A800E0">
        <w:tab/>
        <w:t>Residential and/or special education regimes separate children with disabilities from other learners, their families and the community</w:t>
      </w:r>
      <w:r w:rsidR="006C0FEF">
        <w:t>;</w:t>
      </w:r>
    </w:p>
    <w:p w14:paraId="7BB6E335" w14:textId="512C23CC" w:rsidR="00766FF5" w:rsidRPr="00A800E0" w:rsidRDefault="005E5252" w:rsidP="005E5252">
      <w:pPr>
        <w:pStyle w:val="SingleTxtG"/>
      </w:pPr>
      <w:r w:rsidRPr="00A800E0">
        <w:tab/>
      </w:r>
      <w:r w:rsidR="00766FF5" w:rsidRPr="00A800E0">
        <w:t>(e)</w:t>
      </w:r>
      <w:r w:rsidR="00766FF5" w:rsidRPr="00A800E0">
        <w:tab/>
        <w:t>LGBTIQ+ persons with disabilities in institutions or working in sheltered workshops experience higher risks of violence.</w:t>
      </w:r>
      <w:r w:rsidR="00766FF5" w:rsidRPr="00A800E0">
        <w:rPr>
          <w:rStyle w:val="FootnoteReference"/>
        </w:rPr>
        <w:t xml:space="preserve"> </w:t>
      </w:r>
    </w:p>
    <w:p w14:paraId="32376C21" w14:textId="77777777" w:rsidR="00766FF5" w:rsidRPr="00A800E0" w:rsidRDefault="00766FF5" w:rsidP="00766FF5">
      <w:pPr>
        <w:pStyle w:val="H23G"/>
      </w:pPr>
      <w:r w:rsidRPr="00A800E0">
        <w:tab/>
        <w:t>3.</w:t>
      </w:r>
      <w:r w:rsidRPr="00A800E0">
        <w:tab/>
        <w:t>Instances of torture and ill-treatment in institutions</w:t>
      </w:r>
    </w:p>
    <w:p w14:paraId="133BFBD8" w14:textId="0911DD3B" w:rsidR="00766FF5" w:rsidRPr="00A800E0" w:rsidRDefault="006F0E17" w:rsidP="006F0E17">
      <w:pPr>
        <w:pStyle w:val="SingleTxtG"/>
      </w:pPr>
      <w:r w:rsidRPr="00A800E0">
        <w:rPr>
          <w:rFonts w:asciiTheme="majorBidi" w:hAnsiTheme="majorBidi" w:cstheme="majorBidi"/>
        </w:rPr>
        <w:t>66.</w:t>
      </w:r>
      <w:r w:rsidRPr="00A800E0">
        <w:rPr>
          <w:rFonts w:asciiTheme="majorBidi" w:hAnsiTheme="majorBidi" w:cstheme="majorBidi"/>
        </w:rPr>
        <w:tab/>
      </w:r>
      <w:r w:rsidR="00766FF5" w:rsidRPr="00A800E0">
        <w:t xml:space="preserve">Power imbalance in personal interactions and </w:t>
      </w:r>
      <w:r w:rsidR="00441B88">
        <w:t>“</w:t>
      </w:r>
      <w:r w:rsidR="00766FF5" w:rsidRPr="00A800E0">
        <w:t>a culture of compliance</w:t>
      </w:r>
      <w:r w:rsidR="00441B88">
        <w:t>”</w:t>
      </w:r>
      <w:r w:rsidR="00766FF5" w:rsidRPr="00A800E0">
        <w:t xml:space="preserve"> are common in institutions. </w:t>
      </w:r>
    </w:p>
    <w:p w14:paraId="7F393660" w14:textId="4E7FB28E" w:rsidR="00766FF5" w:rsidRPr="00A800E0" w:rsidRDefault="006F0E17" w:rsidP="006F0E17">
      <w:pPr>
        <w:pStyle w:val="SingleTxtG"/>
      </w:pPr>
      <w:r w:rsidRPr="00A800E0">
        <w:rPr>
          <w:rFonts w:asciiTheme="majorBidi" w:hAnsiTheme="majorBidi" w:cstheme="majorBidi"/>
        </w:rPr>
        <w:t>67.</w:t>
      </w:r>
      <w:r w:rsidRPr="00A800E0">
        <w:rPr>
          <w:rFonts w:asciiTheme="majorBidi" w:hAnsiTheme="majorBidi" w:cstheme="majorBidi"/>
        </w:rPr>
        <w:tab/>
      </w:r>
      <w:r w:rsidR="00766FF5" w:rsidRPr="00A800E0">
        <w:t>Institutionalization has resulted in systematic neglect, coercion and dehumanization for persons with disabilities.</w:t>
      </w:r>
      <w:r w:rsidR="00766FF5" w:rsidRPr="00A800E0">
        <w:rPr>
          <w:vertAlign w:val="superscript"/>
        </w:rPr>
        <w:footnoteReference w:id="33"/>
      </w:r>
      <w:r w:rsidR="00766FF5" w:rsidRPr="00A800E0">
        <w:t xml:space="preserve"> Women with disabilities are in a situation of subordination to male caregivers. Persons with psychosocial disabilities, persons with intellectual disabilities, persons with cognitive disabilities, older persons, LGBTIQ+ persons and people of African descent are at a heightened risk of short- and long-term institutionalization and ill-treatment in institutions.</w:t>
      </w:r>
    </w:p>
    <w:p w14:paraId="50E807D2" w14:textId="62E78859" w:rsidR="00766FF5" w:rsidRPr="00A800E0" w:rsidRDefault="006F0E17" w:rsidP="006F0E17">
      <w:pPr>
        <w:pStyle w:val="SingleTxtG"/>
      </w:pPr>
      <w:r w:rsidRPr="00A800E0">
        <w:rPr>
          <w:rFonts w:asciiTheme="majorBidi" w:hAnsiTheme="majorBidi" w:cstheme="majorBidi"/>
        </w:rPr>
        <w:t>68.</w:t>
      </w:r>
      <w:r w:rsidRPr="00A800E0">
        <w:rPr>
          <w:rFonts w:asciiTheme="majorBidi" w:hAnsiTheme="majorBidi" w:cstheme="majorBidi"/>
        </w:rPr>
        <w:tab/>
      </w:r>
      <w:r w:rsidR="00766FF5" w:rsidRPr="00A800E0">
        <w:t xml:space="preserve">Paternalistic and coercive practices justified as </w:t>
      </w:r>
      <w:r w:rsidR="00441B88">
        <w:t>“</w:t>
      </w:r>
      <w:r w:rsidR="00766FF5" w:rsidRPr="00A800E0">
        <w:t>care</w:t>
      </w:r>
      <w:r w:rsidR="00441B88">
        <w:t>”</w:t>
      </w:r>
      <w:r w:rsidR="00766FF5" w:rsidRPr="00A800E0">
        <w:t>, coupled with the denial of bodily autonomy, subject persons with disabilities in institutions to degrading treatment and a complete loss of privacy. Some practices, including forced nakedness, heighten the risks of rape and sexual abuse.</w:t>
      </w:r>
    </w:p>
    <w:p w14:paraId="7080E25F" w14:textId="76E08F1A" w:rsidR="00766FF5" w:rsidRPr="00A800E0" w:rsidRDefault="006F0E17" w:rsidP="006F0E17">
      <w:pPr>
        <w:pStyle w:val="SingleTxtG"/>
      </w:pPr>
      <w:r w:rsidRPr="00A800E0">
        <w:rPr>
          <w:rFonts w:asciiTheme="majorBidi" w:hAnsiTheme="majorBidi" w:cstheme="majorBidi"/>
        </w:rPr>
        <w:t>69.</w:t>
      </w:r>
      <w:r w:rsidRPr="00A800E0">
        <w:rPr>
          <w:rFonts w:asciiTheme="majorBidi" w:hAnsiTheme="majorBidi" w:cstheme="majorBidi"/>
        </w:rPr>
        <w:tab/>
      </w:r>
      <w:r w:rsidR="00766FF5" w:rsidRPr="00A800E0">
        <w:t>Violence in institutions includes neglect, physical assault, sexual violence, killings, coercion, heavy sedation, forced administration of mind-altering drugs, restraints, solitary confinement and verbal and emotional abuse.</w:t>
      </w:r>
      <w:r w:rsidR="00DE4F13" w:rsidRPr="00A800E0">
        <w:t xml:space="preserve"> </w:t>
      </w:r>
    </w:p>
    <w:p w14:paraId="1B79439C" w14:textId="70E525A8" w:rsidR="00766FF5" w:rsidRPr="00A800E0" w:rsidRDefault="006F0E17" w:rsidP="006F0E17">
      <w:pPr>
        <w:pStyle w:val="SingleTxtG"/>
        <w:rPr>
          <w:rFonts w:eastAsia="Arial"/>
        </w:rPr>
      </w:pPr>
      <w:r w:rsidRPr="00A800E0">
        <w:rPr>
          <w:rFonts w:asciiTheme="majorBidi" w:eastAsia="Arial" w:hAnsiTheme="majorBidi" w:cstheme="majorBidi"/>
        </w:rPr>
        <w:t>70.</w:t>
      </w:r>
      <w:r w:rsidRPr="00A800E0">
        <w:rPr>
          <w:rFonts w:asciiTheme="majorBidi" w:eastAsia="Arial" w:hAnsiTheme="majorBidi" w:cstheme="majorBidi"/>
        </w:rPr>
        <w:tab/>
      </w:r>
      <w:r w:rsidR="00766FF5" w:rsidRPr="00A800E0">
        <w:t>Private service providers running institutions can bear responsibility for disability</w:t>
      </w:r>
      <w:r w:rsidR="00441B88">
        <w:noBreakHyphen/>
      </w:r>
      <w:r w:rsidR="00766FF5" w:rsidRPr="00A800E0">
        <w:t xml:space="preserve">based violence, which often becomes normalized. </w:t>
      </w:r>
    </w:p>
    <w:p w14:paraId="16237D22" w14:textId="324897DC" w:rsidR="00766FF5" w:rsidRPr="00A800E0" w:rsidRDefault="006F0E17" w:rsidP="006F0E17">
      <w:pPr>
        <w:pStyle w:val="SingleTxtG"/>
        <w:rPr>
          <w:rFonts w:eastAsia="Arial"/>
        </w:rPr>
      </w:pPr>
      <w:r w:rsidRPr="00A800E0">
        <w:rPr>
          <w:rFonts w:asciiTheme="majorBidi" w:eastAsia="Arial" w:hAnsiTheme="majorBidi" w:cstheme="majorBidi"/>
        </w:rPr>
        <w:t>71.</w:t>
      </w:r>
      <w:r w:rsidRPr="00A800E0">
        <w:rPr>
          <w:rFonts w:asciiTheme="majorBidi" w:eastAsia="Arial" w:hAnsiTheme="majorBidi" w:cstheme="majorBidi"/>
        </w:rPr>
        <w:tab/>
      </w:r>
      <w:r w:rsidR="00766FF5" w:rsidRPr="00A800E0">
        <w:rPr>
          <w:rFonts w:eastAsia="Arial"/>
        </w:rPr>
        <w:t xml:space="preserve">Violence becomes a pattern in the absence of monitoring and accountability. </w:t>
      </w:r>
      <w:r w:rsidR="00766FF5" w:rsidRPr="00A800E0">
        <w:t>Persons with disabilities who are victims of violence in institutions are often unable to submit complaints to independent oversight or judicial bodies.</w:t>
      </w:r>
      <w:r w:rsidR="00766FF5" w:rsidRPr="00A800E0">
        <w:rPr>
          <w:vertAlign w:val="superscript"/>
        </w:rPr>
        <w:footnoteReference w:id="34"/>
      </w:r>
      <w:r w:rsidR="00766FF5" w:rsidRPr="00A800E0">
        <w:t xml:space="preserve"> This is mainly due to the control exercised over them.</w:t>
      </w:r>
    </w:p>
    <w:p w14:paraId="6A844370" w14:textId="1177863D" w:rsidR="00766FF5" w:rsidRPr="00A800E0" w:rsidRDefault="006F0E17" w:rsidP="0008680F">
      <w:pPr>
        <w:pStyle w:val="SingleTxtG"/>
        <w:keepNext/>
        <w:keepLines/>
        <w:rPr>
          <w:b/>
          <w:bCs/>
        </w:rPr>
      </w:pPr>
      <w:r w:rsidRPr="00A800E0">
        <w:rPr>
          <w:rFonts w:asciiTheme="majorBidi" w:hAnsiTheme="majorBidi" w:cstheme="majorBidi"/>
        </w:rPr>
        <w:lastRenderedPageBreak/>
        <w:t>72.</w:t>
      </w:r>
      <w:r w:rsidRPr="00A800E0">
        <w:rPr>
          <w:rFonts w:asciiTheme="majorBidi" w:hAnsiTheme="majorBidi" w:cstheme="majorBidi"/>
        </w:rPr>
        <w:tab/>
      </w:r>
      <w:r w:rsidR="00766FF5" w:rsidRPr="00A800E0">
        <w:rPr>
          <w:b/>
          <w:bCs/>
        </w:rPr>
        <w:t>State</w:t>
      </w:r>
      <w:r w:rsidR="0008680F">
        <w:rPr>
          <w:b/>
          <w:bCs/>
        </w:rPr>
        <w:t>s</w:t>
      </w:r>
      <w:r w:rsidR="00766FF5" w:rsidRPr="00A800E0">
        <w:rPr>
          <w:b/>
          <w:bCs/>
        </w:rPr>
        <w:t xml:space="preserve"> Parties should end institutionalization, carry out deinstitutionalization strategies for persons with disabilities and: </w:t>
      </w:r>
    </w:p>
    <w:p w14:paraId="6F1C0177" w14:textId="06D2D73A" w:rsidR="00766FF5" w:rsidRPr="00A800E0" w:rsidRDefault="005359A0" w:rsidP="0008680F">
      <w:pPr>
        <w:pStyle w:val="SingleTxtG"/>
        <w:keepNext/>
        <w:keepLines/>
        <w:rPr>
          <w:b/>
          <w:bCs/>
        </w:rPr>
      </w:pPr>
      <w:r w:rsidRPr="00A800E0">
        <w:tab/>
      </w:r>
      <w:r w:rsidR="00766FF5" w:rsidRPr="00A800E0">
        <w:t>(a)</w:t>
      </w:r>
      <w:r w:rsidR="00766FF5" w:rsidRPr="00A800E0">
        <w:tab/>
      </w:r>
      <w:r w:rsidR="00766FF5" w:rsidRPr="00A800E0">
        <w:rPr>
          <w:b/>
          <w:bCs/>
        </w:rPr>
        <w:t>Develop programmes that enhance awareness of rights, facilitate the recognition of abusive conduct and promote early access to support and protection services;</w:t>
      </w:r>
    </w:p>
    <w:p w14:paraId="20713402" w14:textId="0A791C9B" w:rsidR="00766FF5" w:rsidRPr="00A800E0" w:rsidRDefault="005359A0" w:rsidP="005359A0">
      <w:pPr>
        <w:pStyle w:val="SingleTxtG"/>
        <w:rPr>
          <w:b/>
          <w:bCs/>
        </w:rPr>
      </w:pPr>
      <w:r w:rsidRPr="00A800E0">
        <w:tab/>
      </w:r>
      <w:r w:rsidR="00766FF5" w:rsidRPr="00A800E0">
        <w:t>(b)</w:t>
      </w:r>
      <w:r w:rsidR="00766FF5" w:rsidRPr="00A800E0">
        <w:tab/>
      </w:r>
      <w:r w:rsidR="00766FF5" w:rsidRPr="00A800E0">
        <w:rPr>
          <w:b/>
          <w:bCs/>
        </w:rPr>
        <w:t>Ensure confidential, independent and accessible mechanisms for reporting violence in institutions, immediate protection from retaliation, and access to sexual and reproductive healthcare, psychosocial support, legal aid and survivor</w:t>
      </w:r>
      <w:r w:rsidR="00441B88">
        <w:rPr>
          <w:b/>
          <w:bCs/>
        </w:rPr>
        <w:noBreakHyphen/>
      </w:r>
      <w:r w:rsidR="00766FF5" w:rsidRPr="00A800E0">
        <w:rPr>
          <w:b/>
          <w:bCs/>
        </w:rPr>
        <w:t>centred investigations;</w:t>
      </w:r>
    </w:p>
    <w:p w14:paraId="31E4FB48" w14:textId="50ECFF6D" w:rsidR="00766FF5" w:rsidRPr="00A800E0" w:rsidRDefault="005359A0" w:rsidP="005359A0">
      <w:pPr>
        <w:pStyle w:val="SingleTxtG"/>
        <w:rPr>
          <w:b/>
          <w:bCs/>
        </w:rPr>
      </w:pPr>
      <w:r w:rsidRPr="00A800E0">
        <w:tab/>
      </w:r>
      <w:r w:rsidR="00766FF5" w:rsidRPr="00A800E0">
        <w:t>(c)</w:t>
      </w:r>
      <w:r w:rsidR="00766FF5" w:rsidRPr="00A800E0">
        <w:rPr>
          <w:b/>
          <w:bCs/>
        </w:rPr>
        <w:tab/>
        <w:t>Conduct investigations into allegations of violence, including gender</w:t>
      </w:r>
      <w:r w:rsidR="00441B88">
        <w:rPr>
          <w:b/>
          <w:bCs/>
        </w:rPr>
        <w:noBreakHyphen/>
      </w:r>
      <w:r w:rsidR="00766FF5" w:rsidRPr="00A800E0">
        <w:rPr>
          <w:b/>
          <w:bCs/>
        </w:rPr>
        <w:t>based violence, torture and ill-treatment in institutions, and determine responsibility for such acts committed by private providers;</w:t>
      </w:r>
    </w:p>
    <w:p w14:paraId="3888C8BB" w14:textId="66034235" w:rsidR="00766FF5" w:rsidRPr="00A800E0" w:rsidRDefault="005359A0" w:rsidP="005359A0">
      <w:pPr>
        <w:pStyle w:val="SingleTxtG"/>
        <w:rPr>
          <w:b/>
          <w:bCs/>
        </w:rPr>
      </w:pPr>
      <w:r w:rsidRPr="00A800E0">
        <w:tab/>
      </w:r>
      <w:r w:rsidR="00766FF5" w:rsidRPr="00A800E0">
        <w:t>(d)</w:t>
      </w:r>
      <w:r w:rsidR="00766FF5" w:rsidRPr="00A800E0">
        <w:tab/>
      </w:r>
      <w:r w:rsidR="00766FF5" w:rsidRPr="00A800E0">
        <w:rPr>
          <w:b/>
          <w:bCs/>
        </w:rPr>
        <w:t xml:space="preserve">Provide persons with disabilities with effective remedies for the harm caused by disability-based violence, ensuring that the remedies are accessible, timely and serve to put an end to the violations, and that they include effective reparation consisting of restitution, compensation, habilitation and rehabilitation, satisfaction and guarantees of non-repetition. </w:t>
      </w:r>
    </w:p>
    <w:p w14:paraId="72898406" w14:textId="77777777" w:rsidR="00766FF5" w:rsidRPr="00A800E0" w:rsidRDefault="00766FF5" w:rsidP="00766FF5">
      <w:pPr>
        <w:pStyle w:val="H23G"/>
      </w:pPr>
      <w:r w:rsidRPr="00A800E0">
        <w:tab/>
        <w:t>4.</w:t>
      </w:r>
      <w:r w:rsidRPr="00A800E0">
        <w:tab/>
        <w:t>Violence in the context of family separation and institutionalization</w:t>
      </w:r>
    </w:p>
    <w:p w14:paraId="209ACF12" w14:textId="2D4CE7D8" w:rsidR="00766FF5" w:rsidRPr="00A800E0" w:rsidRDefault="006F0E17" w:rsidP="006F0E17">
      <w:pPr>
        <w:pStyle w:val="SingleTxtG"/>
      </w:pPr>
      <w:r w:rsidRPr="00A800E0">
        <w:rPr>
          <w:rFonts w:asciiTheme="majorBidi" w:hAnsiTheme="majorBidi" w:cstheme="majorBidi"/>
        </w:rPr>
        <w:t>73.</w:t>
      </w:r>
      <w:r w:rsidRPr="00A800E0">
        <w:rPr>
          <w:rFonts w:asciiTheme="majorBidi" w:hAnsiTheme="majorBidi" w:cstheme="majorBidi"/>
        </w:rPr>
        <w:tab/>
      </w:r>
      <w:r w:rsidR="00766FF5" w:rsidRPr="00A800E0">
        <w:t xml:space="preserve">Legislation in many countries still provide for the separation of children with disabilities from their parents based on disability, which </w:t>
      </w:r>
      <w:r w:rsidR="00766FF5" w:rsidRPr="00A800E0">
        <w:rPr>
          <w:rFonts w:eastAsia="Arial"/>
        </w:rPr>
        <w:t xml:space="preserve">constitutes a serious interference with family life. </w:t>
      </w:r>
      <w:r w:rsidR="00766FF5" w:rsidRPr="00A800E0">
        <w:t>Placement in institutions is often justified for the purpose of providing care or protection. When adults with disabilities report abuse, adult protective services institutionalize them, alleging that is for their protection, rather than relocating the abuser.</w:t>
      </w:r>
    </w:p>
    <w:p w14:paraId="6E06A6CD" w14:textId="21D61769" w:rsidR="00766FF5" w:rsidRPr="00A800E0" w:rsidRDefault="006F0E17" w:rsidP="006F0E17">
      <w:pPr>
        <w:pStyle w:val="SingleTxtG"/>
      </w:pPr>
      <w:r w:rsidRPr="00A800E0">
        <w:rPr>
          <w:rFonts w:asciiTheme="majorBidi" w:hAnsiTheme="majorBidi" w:cstheme="majorBidi"/>
        </w:rPr>
        <w:t>74.</w:t>
      </w:r>
      <w:r w:rsidRPr="00A800E0">
        <w:rPr>
          <w:rFonts w:asciiTheme="majorBidi" w:hAnsiTheme="majorBidi" w:cstheme="majorBidi"/>
        </w:rPr>
        <w:tab/>
      </w:r>
      <w:r w:rsidR="00766FF5" w:rsidRPr="00A800E0">
        <w:t>The removal of children from their family on the basis of disability stereotypes, assumptions of parental incapacity or the absence of disability-related support is a form of disability-based violence. Family separation can increase the risk of developmental delays among children with disabilities and can exacerbate the impairments, trauma and isolation of those children.</w:t>
      </w:r>
    </w:p>
    <w:p w14:paraId="1039E855" w14:textId="4C1B699C" w:rsidR="00766FF5" w:rsidRPr="00A800E0" w:rsidRDefault="006F0E17" w:rsidP="006F0E17">
      <w:pPr>
        <w:pStyle w:val="SingleTxtG"/>
      </w:pPr>
      <w:r w:rsidRPr="00A800E0">
        <w:rPr>
          <w:rFonts w:asciiTheme="majorBidi" w:hAnsiTheme="majorBidi" w:cstheme="majorBidi"/>
        </w:rPr>
        <w:t>75.</w:t>
      </w:r>
      <w:r w:rsidRPr="00A800E0">
        <w:rPr>
          <w:rFonts w:asciiTheme="majorBidi" w:hAnsiTheme="majorBidi" w:cstheme="majorBidi"/>
        </w:rPr>
        <w:tab/>
      </w:r>
      <w:r w:rsidR="00766FF5" w:rsidRPr="00A800E0">
        <w:t xml:space="preserve">Some communities stigmatize parents of children with intellectual disabilities, deeming the children to be </w:t>
      </w:r>
      <w:r w:rsidR="00441B88">
        <w:t>“</w:t>
      </w:r>
      <w:r w:rsidR="00766FF5" w:rsidRPr="00A800E0">
        <w:t>evil spirits</w:t>
      </w:r>
      <w:r w:rsidR="00441B88">
        <w:t>”</w:t>
      </w:r>
      <w:r w:rsidR="00766FF5" w:rsidRPr="00A800E0">
        <w:t xml:space="preserve">, </w:t>
      </w:r>
      <w:r w:rsidR="00441B88">
        <w:t>“</w:t>
      </w:r>
      <w:r w:rsidR="00766FF5" w:rsidRPr="00A800E0">
        <w:t>snakes</w:t>
      </w:r>
      <w:r w:rsidR="00441B88">
        <w:t>”</w:t>
      </w:r>
      <w:r w:rsidR="00766FF5" w:rsidRPr="00A800E0">
        <w:t xml:space="preserve"> or </w:t>
      </w:r>
      <w:r w:rsidR="00441B88">
        <w:t>“</w:t>
      </w:r>
      <w:r w:rsidR="00766FF5" w:rsidRPr="00A800E0">
        <w:t>possessed</w:t>
      </w:r>
      <w:r w:rsidR="00441B88">
        <w:t>”</w:t>
      </w:r>
      <w:r w:rsidR="00766FF5" w:rsidRPr="00A800E0">
        <w:t xml:space="preserve"> due to the sins of the parents, especially mothers. Social stigma may stem from having a child outside of marriage or not following customary practices. Some mothers of children with disabilities are pressured to kill their children. Those who refuse may face extreme hardship, reputational damage and the exclusion of their children from the community, including from childcare and education, and mothers, in particular, experience harmful effects on their physical and mental health.</w:t>
      </w:r>
      <w:r w:rsidR="00766FF5" w:rsidRPr="00A800E0">
        <w:rPr>
          <w:vertAlign w:val="superscript"/>
        </w:rPr>
        <w:t xml:space="preserve"> </w:t>
      </w:r>
    </w:p>
    <w:p w14:paraId="1892C10D" w14:textId="1C348CA6" w:rsidR="00766FF5" w:rsidRPr="00A800E0" w:rsidRDefault="006F0E17" w:rsidP="006F0E17">
      <w:pPr>
        <w:pStyle w:val="SingleTxtG"/>
        <w:rPr>
          <w:b/>
          <w:bCs/>
        </w:rPr>
      </w:pPr>
      <w:r w:rsidRPr="00A800E0">
        <w:rPr>
          <w:rFonts w:asciiTheme="majorBidi" w:hAnsiTheme="majorBidi" w:cstheme="majorBidi"/>
        </w:rPr>
        <w:t>76.</w:t>
      </w:r>
      <w:r w:rsidRPr="00A800E0">
        <w:rPr>
          <w:rFonts w:asciiTheme="majorBidi" w:hAnsiTheme="majorBidi" w:cstheme="majorBidi"/>
        </w:rPr>
        <w:tab/>
      </w:r>
      <w:r w:rsidR="00766FF5" w:rsidRPr="00A800E0">
        <w:rPr>
          <w:b/>
          <w:bCs/>
        </w:rPr>
        <w:t>The Committee recalls article 23 (4) of the Convention and the Committee</w:t>
      </w:r>
      <w:r w:rsidR="00441B88">
        <w:rPr>
          <w:b/>
          <w:bCs/>
        </w:rPr>
        <w:t>’</w:t>
      </w:r>
      <w:r w:rsidR="00766FF5" w:rsidRPr="00A800E0">
        <w:rPr>
          <w:b/>
          <w:bCs/>
        </w:rPr>
        <w:t>s guidelines on deinstitutionalization, including in emergencies, according to which a disability can never be used to justify the removal of children from parental care. States Parties should:</w:t>
      </w:r>
    </w:p>
    <w:p w14:paraId="5104BDBA" w14:textId="1B191A22" w:rsidR="00766FF5" w:rsidRPr="00A800E0" w:rsidRDefault="009B143A" w:rsidP="009B143A">
      <w:pPr>
        <w:pStyle w:val="SingleTxtG"/>
        <w:rPr>
          <w:b/>
          <w:bCs/>
        </w:rPr>
      </w:pPr>
      <w:r w:rsidRPr="00A800E0">
        <w:tab/>
      </w:r>
      <w:r w:rsidR="00766FF5" w:rsidRPr="00A800E0">
        <w:t>(a)</w:t>
      </w:r>
      <w:r w:rsidR="00766FF5" w:rsidRPr="00A800E0">
        <w:tab/>
      </w:r>
      <w:r w:rsidR="00766FF5" w:rsidRPr="00A800E0">
        <w:rPr>
          <w:b/>
          <w:bCs/>
        </w:rPr>
        <w:t>Prohibit separation on the basis of impairment, including in connection with allegations that the caregiver is a victim of gender-based violence or in situations of poverty. Addressing violence against women with disabilities should prioritize the safety of, and the provision of accessible support to, the parent and child;</w:t>
      </w:r>
    </w:p>
    <w:p w14:paraId="3DEF76A4" w14:textId="0F226C2E" w:rsidR="00766FF5" w:rsidRPr="00A800E0" w:rsidRDefault="009B143A" w:rsidP="009B143A">
      <w:pPr>
        <w:pStyle w:val="SingleTxtG"/>
        <w:rPr>
          <w:b/>
          <w:bCs/>
        </w:rPr>
      </w:pPr>
      <w:r w:rsidRPr="00A800E0">
        <w:tab/>
      </w:r>
      <w:r w:rsidR="00766FF5" w:rsidRPr="00A800E0">
        <w:t>(b)</w:t>
      </w:r>
      <w:r w:rsidR="00766FF5" w:rsidRPr="00A800E0">
        <w:rPr>
          <w:b/>
          <w:bCs/>
        </w:rPr>
        <w:tab/>
        <w:t>Expedite the adoption of measures of individualized and community</w:t>
      </w:r>
      <w:r w:rsidR="00441B88">
        <w:rPr>
          <w:b/>
          <w:bCs/>
        </w:rPr>
        <w:noBreakHyphen/>
      </w:r>
      <w:r w:rsidR="00766FF5" w:rsidRPr="00A800E0">
        <w:rPr>
          <w:b/>
          <w:bCs/>
        </w:rPr>
        <w:t xml:space="preserve">based support for parents with disabilities and parents of children with disabilities, including those living in rural, remote or maritime areas. </w:t>
      </w:r>
    </w:p>
    <w:p w14:paraId="26A744E6" w14:textId="77777777" w:rsidR="00766FF5" w:rsidRPr="00A800E0" w:rsidRDefault="00766FF5" w:rsidP="00766FF5">
      <w:pPr>
        <w:pStyle w:val="H23G"/>
        <w:rPr>
          <w:rFonts w:ascii="Aptos" w:hAnsi="Aptos" w:cs="Aptos"/>
        </w:rPr>
      </w:pPr>
      <w:r w:rsidRPr="00A800E0">
        <w:tab/>
        <w:t>5.</w:t>
      </w:r>
      <w:r w:rsidRPr="00A800E0">
        <w:tab/>
        <w:t xml:space="preserve">Forms of disability-based violence amounting to torture or cruel, inhuman or degrading treatment </w:t>
      </w:r>
    </w:p>
    <w:p w14:paraId="7A0B04CB" w14:textId="0975FB22" w:rsidR="00766FF5" w:rsidRPr="00A800E0" w:rsidRDefault="006F0E17" w:rsidP="006F0E17">
      <w:pPr>
        <w:pStyle w:val="SingleTxtG"/>
      </w:pPr>
      <w:r w:rsidRPr="00A800E0">
        <w:rPr>
          <w:rFonts w:asciiTheme="majorBidi" w:hAnsiTheme="majorBidi" w:cstheme="majorBidi"/>
        </w:rPr>
        <w:t>77.</w:t>
      </w:r>
      <w:r w:rsidRPr="00A800E0">
        <w:rPr>
          <w:rFonts w:asciiTheme="majorBidi" w:hAnsiTheme="majorBidi" w:cstheme="majorBidi"/>
        </w:rPr>
        <w:tab/>
      </w:r>
      <w:r w:rsidR="00766FF5" w:rsidRPr="00A800E0">
        <w:t xml:space="preserve">The Committee has identified forms of disability-based violence that are inconsistent with article 15 of the Convention, namely, involuntary treatment, seclusion and the use of </w:t>
      </w:r>
      <w:r w:rsidR="00766FF5" w:rsidRPr="00A800E0">
        <w:lastRenderedPageBreak/>
        <w:t>physical, chemical and mechanical restraints in medical facilities;</w:t>
      </w:r>
      <w:r w:rsidR="00766FF5" w:rsidRPr="00A800E0">
        <w:rPr>
          <w:vertAlign w:val="superscript"/>
        </w:rPr>
        <w:footnoteReference w:id="35"/>
      </w:r>
      <w:r w:rsidR="00766FF5" w:rsidRPr="00A800E0">
        <w:t xml:space="preserve"> involuntary detention may also constitute a violation of article 15. The use of solitary confinement, such as isolation rooms</w:t>
      </w:r>
      <w:r w:rsidR="00766FF5" w:rsidRPr="00A800E0">
        <w:rPr>
          <w:vertAlign w:val="superscript"/>
        </w:rPr>
        <w:footnoteReference w:id="36"/>
      </w:r>
      <w:r w:rsidR="00766FF5" w:rsidRPr="00A800E0">
        <w:t xml:space="preserve"> and degrading living conditions affecting persons with disabilities in institutions</w:t>
      </w:r>
      <w:r w:rsidR="00766FF5" w:rsidRPr="00A800E0">
        <w:rPr>
          <w:vertAlign w:val="superscript"/>
        </w:rPr>
        <w:footnoteReference w:id="37"/>
      </w:r>
      <w:r w:rsidR="00766FF5" w:rsidRPr="00A800E0">
        <w:t xml:space="preserve"> may also constitute torture or other ill-treatment. The lack of effective prosecution of the suspected perpetrators of crimes against persons with disabilities causes revictimization and constitutes a violation of obligations under article 15.</w:t>
      </w:r>
      <w:r w:rsidR="00766FF5" w:rsidRPr="00A800E0">
        <w:rPr>
          <w:vertAlign w:val="superscript"/>
        </w:rPr>
        <w:footnoteReference w:id="38"/>
      </w:r>
    </w:p>
    <w:p w14:paraId="13C3C667" w14:textId="7F7F767D" w:rsidR="00766FF5" w:rsidRPr="00A800E0" w:rsidRDefault="006F0E17" w:rsidP="006F0E17">
      <w:pPr>
        <w:pStyle w:val="SingleTxtG"/>
      </w:pPr>
      <w:r w:rsidRPr="00A800E0">
        <w:rPr>
          <w:rFonts w:asciiTheme="majorBidi" w:hAnsiTheme="majorBidi" w:cstheme="majorBidi"/>
        </w:rPr>
        <w:t>78.</w:t>
      </w:r>
      <w:r w:rsidRPr="00A800E0">
        <w:rPr>
          <w:rFonts w:asciiTheme="majorBidi" w:hAnsiTheme="majorBidi" w:cstheme="majorBidi"/>
        </w:rPr>
        <w:tab/>
      </w:r>
      <w:r w:rsidR="00766FF5" w:rsidRPr="00A800E0">
        <w:t>Repeated acts of violence and abuse during custody, indefinite detention on the basis of disability,</w:t>
      </w:r>
      <w:r w:rsidR="00766FF5" w:rsidRPr="00A800E0">
        <w:rPr>
          <w:vertAlign w:val="superscript"/>
        </w:rPr>
        <w:footnoteReference w:id="39"/>
      </w:r>
      <w:r w:rsidR="00766FF5" w:rsidRPr="00A800E0">
        <w:t xml:space="preserve"> the denial of reasonable accommodation and accessibility in detention settings,</w:t>
      </w:r>
      <w:r w:rsidR="00766FF5" w:rsidRPr="00A800E0">
        <w:rPr>
          <w:vertAlign w:val="superscript"/>
        </w:rPr>
        <w:footnoteReference w:id="40"/>
      </w:r>
      <w:r w:rsidR="00766FF5" w:rsidRPr="00A800E0">
        <w:t xml:space="preserve"> deprivation of food, medication, communication or mobility aids, and the </w:t>
      </w:r>
      <w:r w:rsidR="00766FF5" w:rsidRPr="00A800E0">
        <w:rPr>
          <w:color w:val="000000"/>
        </w:rPr>
        <w:t>use of solitary confinement and/or physical restraints in prisons and refugee or immigrant detention centres also</w:t>
      </w:r>
      <w:r w:rsidR="00766FF5" w:rsidRPr="00A800E0">
        <w:t xml:space="preserve"> violate the prohibition of torture</w:t>
      </w:r>
      <w:r w:rsidR="00766FF5" w:rsidRPr="00A800E0">
        <w:rPr>
          <w:color w:val="1F497D"/>
        </w:rPr>
        <w:t xml:space="preserve">. </w:t>
      </w:r>
    </w:p>
    <w:p w14:paraId="589F0B33" w14:textId="73D05454" w:rsidR="00766FF5" w:rsidRPr="00A800E0" w:rsidRDefault="006F0E17" w:rsidP="006F0E17">
      <w:pPr>
        <w:pStyle w:val="SingleTxtG"/>
      </w:pPr>
      <w:r w:rsidRPr="00A800E0">
        <w:rPr>
          <w:rFonts w:asciiTheme="majorBidi" w:hAnsiTheme="majorBidi" w:cstheme="majorBidi"/>
        </w:rPr>
        <w:t>79.</w:t>
      </w:r>
      <w:r w:rsidRPr="00A800E0">
        <w:rPr>
          <w:rFonts w:asciiTheme="majorBidi" w:hAnsiTheme="majorBidi" w:cstheme="majorBidi"/>
        </w:rPr>
        <w:tab/>
      </w:r>
      <w:r w:rsidR="00766FF5" w:rsidRPr="00A800E0">
        <w:t>Non-consensual administration of mind-altering drugs such as neuroleptics, or mind</w:t>
      </w:r>
      <w:r w:rsidR="00441B88">
        <w:noBreakHyphen/>
      </w:r>
      <w:r w:rsidR="00766FF5" w:rsidRPr="00A800E0">
        <w:t>altering procedures such as electroshock treatment and psychosurgery, often cause irreversible harm and entail discriminatory attempts to control an individual</w:t>
      </w:r>
      <w:r w:rsidR="00441B88">
        <w:t>’</w:t>
      </w:r>
      <w:r w:rsidR="00766FF5" w:rsidRPr="00A800E0">
        <w:t>s personality, behaviour and choices, violating the prohibition against torture and ill-treatment.</w:t>
      </w:r>
      <w:r w:rsidR="00766FF5" w:rsidRPr="00A800E0">
        <w:rPr>
          <w:vertAlign w:val="superscript"/>
        </w:rPr>
        <w:footnoteReference w:id="41"/>
      </w:r>
      <w:r w:rsidR="00766FF5" w:rsidRPr="00A800E0">
        <w:t xml:space="preserve"> </w:t>
      </w:r>
    </w:p>
    <w:p w14:paraId="687D7CB1" w14:textId="6601C20F" w:rsidR="00766FF5" w:rsidRPr="00A800E0" w:rsidRDefault="006F0E17" w:rsidP="006F0E17">
      <w:pPr>
        <w:pStyle w:val="SingleTxtG"/>
        <w:rPr>
          <w:b/>
          <w:bCs/>
        </w:rPr>
      </w:pPr>
      <w:r w:rsidRPr="00A800E0">
        <w:rPr>
          <w:rFonts w:asciiTheme="majorBidi" w:hAnsiTheme="majorBidi" w:cstheme="majorBidi"/>
        </w:rPr>
        <w:t>80.</w:t>
      </w:r>
      <w:r w:rsidRPr="00A800E0">
        <w:rPr>
          <w:rFonts w:asciiTheme="majorBidi" w:hAnsiTheme="majorBidi" w:cstheme="majorBidi"/>
        </w:rPr>
        <w:tab/>
      </w:r>
      <w:r w:rsidR="00766FF5" w:rsidRPr="00A800E0">
        <w:rPr>
          <w:b/>
          <w:bCs/>
        </w:rPr>
        <w:t xml:space="preserve">The Committee recommends that States Parties: </w:t>
      </w:r>
    </w:p>
    <w:p w14:paraId="312571FC" w14:textId="6692D73B" w:rsidR="00766FF5" w:rsidRPr="00A800E0" w:rsidRDefault="000F47C0" w:rsidP="000F47C0">
      <w:pPr>
        <w:pStyle w:val="SingleTxtG"/>
        <w:rPr>
          <w:b/>
          <w:bCs/>
        </w:rPr>
      </w:pPr>
      <w:r w:rsidRPr="00A800E0">
        <w:tab/>
      </w:r>
      <w:r w:rsidR="00766FF5" w:rsidRPr="00A800E0">
        <w:t>(a)</w:t>
      </w:r>
      <w:r w:rsidR="00766FF5" w:rsidRPr="00A800E0">
        <w:tab/>
      </w:r>
      <w:r w:rsidR="00766FF5" w:rsidRPr="00A800E0">
        <w:rPr>
          <w:b/>
          <w:bCs/>
        </w:rPr>
        <w:t>Recognize the forms of disability-based violence that amount to torture or ill-treatment and extend the scope of anti-torture frameworks to encompass such violence;</w:t>
      </w:r>
    </w:p>
    <w:p w14:paraId="0492A8AB" w14:textId="2A57CFF2" w:rsidR="00766FF5" w:rsidRPr="00A800E0" w:rsidRDefault="000F47C0" w:rsidP="000F47C0">
      <w:pPr>
        <w:pStyle w:val="SingleTxtG"/>
        <w:rPr>
          <w:b/>
          <w:bCs/>
        </w:rPr>
      </w:pPr>
      <w:r w:rsidRPr="00A800E0">
        <w:tab/>
      </w:r>
      <w:r w:rsidR="00766FF5" w:rsidRPr="00A800E0">
        <w:t>(b)</w:t>
      </w:r>
      <w:r w:rsidR="00766FF5" w:rsidRPr="00A800E0">
        <w:rPr>
          <w:b/>
          <w:bCs/>
        </w:rPr>
        <w:tab/>
        <w:t>Ensure that mechanisms for the prevention of torture include persons with disabilities in performing monitoring functions;</w:t>
      </w:r>
    </w:p>
    <w:p w14:paraId="095D4C9D" w14:textId="08C842E8" w:rsidR="00766FF5" w:rsidRPr="00A800E0" w:rsidRDefault="000F47C0" w:rsidP="000F47C0">
      <w:pPr>
        <w:pStyle w:val="SingleTxtG"/>
        <w:rPr>
          <w:b/>
          <w:bCs/>
        </w:rPr>
      </w:pPr>
      <w:r w:rsidRPr="00A800E0">
        <w:tab/>
      </w:r>
      <w:r w:rsidR="00766FF5" w:rsidRPr="00A800E0">
        <w:t>(c)</w:t>
      </w:r>
      <w:r w:rsidR="00766FF5" w:rsidRPr="00A800E0">
        <w:rPr>
          <w:b/>
          <w:bCs/>
        </w:rPr>
        <w:tab/>
        <w:t>Ensure the investigation and prosecution of alleged perpetrators of torture and ill-treatment against persons with disabilities, and the punishment of convicted perpetrators.</w:t>
      </w:r>
    </w:p>
    <w:p w14:paraId="5B50E81E" w14:textId="77777777" w:rsidR="00766FF5" w:rsidRPr="00A800E0" w:rsidRDefault="00766FF5" w:rsidP="00766FF5">
      <w:pPr>
        <w:pStyle w:val="H23G"/>
      </w:pPr>
      <w:r w:rsidRPr="00A800E0">
        <w:tab/>
        <w:t>6.</w:t>
      </w:r>
      <w:r w:rsidRPr="00A800E0">
        <w:tab/>
        <w:t>Denial of free and informed consent, and biomedical practices</w:t>
      </w:r>
    </w:p>
    <w:p w14:paraId="49E5B2DF" w14:textId="0B3E0991" w:rsidR="00766FF5" w:rsidRPr="00A800E0" w:rsidRDefault="006F0E17" w:rsidP="006F0E17">
      <w:pPr>
        <w:pStyle w:val="SingleTxtG"/>
      </w:pPr>
      <w:r w:rsidRPr="00A800E0">
        <w:rPr>
          <w:rFonts w:asciiTheme="majorBidi" w:hAnsiTheme="majorBidi" w:cstheme="majorBidi"/>
        </w:rPr>
        <w:t>81.</w:t>
      </w:r>
      <w:r w:rsidRPr="00A800E0">
        <w:rPr>
          <w:rFonts w:asciiTheme="majorBidi" w:hAnsiTheme="majorBidi" w:cstheme="majorBidi"/>
        </w:rPr>
        <w:tab/>
      </w:r>
      <w:r w:rsidR="00766FF5" w:rsidRPr="00A800E0">
        <w:t>Surgeries on intersex children and other biomedical practices, including treatment targeting the AT4 receptor and the application of clustered regularly interspaced short palindromic repeats (CRISPR) and related gene-editing tools, are sometimes carried out in the absence of free and informed consent of the person concerned. The Committee has expressed concern about the lack of legal and policy frameworks to ensure the free and informed consent of persons with disabilities in relation to scientific treatments and experimentation</w:t>
      </w:r>
      <w:r w:rsidR="00766FF5" w:rsidRPr="00A800E0">
        <w:rPr>
          <w:vertAlign w:val="superscript"/>
        </w:rPr>
        <w:footnoteReference w:id="42"/>
      </w:r>
      <w:r w:rsidR="00766FF5" w:rsidRPr="00A800E0">
        <w:t xml:space="preserve"> and to irreversible medical interventions on intersex children.</w:t>
      </w:r>
      <w:r w:rsidR="00766FF5" w:rsidRPr="00A800E0">
        <w:rPr>
          <w:vertAlign w:val="superscript"/>
        </w:rPr>
        <w:footnoteReference w:id="43"/>
      </w:r>
      <w:r w:rsidR="00766FF5" w:rsidRPr="00A800E0">
        <w:rPr>
          <w:vertAlign w:val="superscript"/>
        </w:rPr>
        <w:t xml:space="preserve"> </w:t>
      </w:r>
    </w:p>
    <w:p w14:paraId="0C0BE50A" w14:textId="3DCFE152" w:rsidR="00766FF5" w:rsidRPr="00A800E0" w:rsidRDefault="006F0E17" w:rsidP="006F0E17">
      <w:pPr>
        <w:pStyle w:val="SingleTxtG"/>
        <w:rPr>
          <w:b/>
          <w:bCs/>
        </w:rPr>
      </w:pPr>
      <w:r w:rsidRPr="00A800E0">
        <w:rPr>
          <w:rFonts w:asciiTheme="majorBidi" w:hAnsiTheme="majorBidi" w:cstheme="majorBidi"/>
        </w:rPr>
        <w:t>82.</w:t>
      </w:r>
      <w:r w:rsidRPr="00A800E0">
        <w:rPr>
          <w:rFonts w:asciiTheme="majorBidi" w:hAnsiTheme="majorBidi" w:cstheme="majorBidi"/>
        </w:rPr>
        <w:tab/>
      </w:r>
      <w:r w:rsidR="00766FF5" w:rsidRPr="00A800E0">
        <w:rPr>
          <w:b/>
          <w:bCs/>
        </w:rPr>
        <w:t xml:space="preserve">States Parties should repeal legislation allowing for substituted decision-making and ensure free and informed consent and supported decision-making prior to any medical or scientific procedure. States Parties should also combat discriminatory, ableist and harmful practices in the context of medical and scientific procedures, research and experimentation, including by raising awareness among members of the scientific community and the medical profession and service providers. </w:t>
      </w:r>
    </w:p>
    <w:p w14:paraId="3F5E63CF" w14:textId="77777777" w:rsidR="00766FF5" w:rsidRPr="00A800E0" w:rsidRDefault="00766FF5" w:rsidP="00766FF5">
      <w:pPr>
        <w:pStyle w:val="H23G"/>
      </w:pPr>
      <w:r w:rsidRPr="00A800E0">
        <w:tab/>
        <w:t>7.</w:t>
      </w:r>
      <w:r w:rsidRPr="00A800E0">
        <w:tab/>
        <w:t>Coercive behavioural-control or modification practices</w:t>
      </w:r>
    </w:p>
    <w:p w14:paraId="2327D85D" w14:textId="0E28F245" w:rsidR="00766FF5" w:rsidRPr="00A800E0" w:rsidRDefault="006F0E17" w:rsidP="006F0E17">
      <w:pPr>
        <w:pStyle w:val="SingleTxtG"/>
      </w:pPr>
      <w:r w:rsidRPr="00A800E0">
        <w:rPr>
          <w:rFonts w:asciiTheme="majorBidi" w:hAnsiTheme="majorBidi" w:cstheme="majorBidi"/>
        </w:rPr>
        <w:t>83.</w:t>
      </w:r>
      <w:r w:rsidRPr="00A800E0">
        <w:rPr>
          <w:rFonts w:asciiTheme="majorBidi" w:hAnsiTheme="majorBidi" w:cstheme="majorBidi"/>
        </w:rPr>
        <w:tab/>
      </w:r>
      <w:r w:rsidR="00766FF5" w:rsidRPr="00A800E0">
        <w:t>Some practices, including applied behaviour analysis and other behaviour</w:t>
      </w:r>
      <w:r w:rsidR="00441B88">
        <w:noBreakHyphen/>
      </w:r>
      <w:r w:rsidR="00766FF5" w:rsidRPr="00A800E0">
        <w:t xml:space="preserve">modification programmes, the use of devices to administer contingent electric skin shock, and the use of restraint and seclusion as aversive interventions, constitute </w:t>
      </w:r>
      <w:r w:rsidR="00766FF5" w:rsidRPr="00A800E0">
        <w:lastRenderedPageBreak/>
        <w:t>disability</w:t>
      </w:r>
      <w:r w:rsidR="00441B88">
        <w:noBreakHyphen/>
      </w:r>
      <w:r w:rsidR="00766FF5" w:rsidRPr="00A800E0">
        <w:t xml:space="preserve">based violence and are incompatible with the prohibition of torture. The use of experimental non-consensual treatment on autistic persons responds to ableist perceptions that disability is the </w:t>
      </w:r>
      <w:r w:rsidR="00441B88">
        <w:t>“</w:t>
      </w:r>
      <w:r w:rsidR="00766FF5" w:rsidRPr="00A800E0">
        <w:t>worst outcome</w:t>
      </w:r>
      <w:r w:rsidR="00441B88">
        <w:t>”</w:t>
      </w:r>
      <w:r w:rsidR="00766FF5" w:rsidRPr="00A800E0">
        <w:t>, ignoring the risks of severe side effects. Disability</w:t>
      </w:r>
      <w:r w:rsidR="00441B88">
        <w:noBreakHyphen/>
      </w:r>
      <w:r w:rsidR="00766FF5" w:rsidRPr="00A800E0">
        <w:t xml:space="preserve">based violence also includes other treatments aimed at suppressing autistic or neurodivergent identities, psychosocial diversity, gender identity and sexual orientation, as well as practices – presented as religious interventions – involving confinement, beating, restraint, deprivation of food or water, forced ingestion, </w:t>
      </w:r>
      <w:r w:rsidR="00441B88">
        <w:t>“</w:t>
      </w:r>
      <w:r w:rsidR="00766FF5" w:rsidRPr="00A800E0">
        <w:t>exorcism</w:t>
      </w:r>
      <w:r w:rsidR="00441B88">
        <w:t>”</w:t>
      </w:r>
      <w:r w:rsidR="00766FF5" w:rsidRPr="00A800E0">
        <w:t xml:space="preserve">, intimidation or other forms of coercion. </w:t>
      </w:r>
    </w:p>
    <w:p w14:paraId="4AA42B4C" w14:textId="77777777" w:rsidR="00766FF5" w:rsidRPr="00A800E0" w:rsidRDefault="00766FF5" w:rsidP="00766FF5">
      <w:pPr>
        <w:pStyle w:val="H23G"/>
      </w:pPr>
      <w:r w:rsidRPr="00A800E0">
        <w:tab/>
        <w:t>8.</w:t>
      </w:r>
      <w:r w:rsidRPr="00A800E0">
        <w:tab/>
        <w:t xml:space="preserve">Excessive use of force against persons with disabilities by law enforcement officials </w:t>
      </w:r>
    </w:p>
    <w:p w14:paraId="171DCF57" w14:textId="47517854" w:rsidR="00766FF5" w:rsidRPr="00A800E0" w:rsidRDefault="006F0E17" w:rsidP="006F0E17">
      <w:pPr>
        <w:pStyle w:val="SingleTxtG"/>
      </w:pPr>
      <w:r w:rsidRPr="00A800E0">
        <w:rPr>
          <w:rFonts w:asciiTheme="majorBidi" w:hAnsiTheme="majorBidi" w:cstheme="majorBidi"/>
        </w:rPr>
        <w:t>84.</w:t>
      </w:r>
      <w:r w:rsidRPr="00A800E0">
        <w:rPr>
          <w:rFonts w:asciiTheme="majorBidi" w:hAnsiTheme="majorBidi" w:cstheme="majorBidi"/>
        </w:rPr>
        <w:tab/>
      </w:r>
      <w:r w:rsidR="00766FF5" w:rsidRPr="00A800E0">
        <w:t>Persons with disabilities, particularly young persons with disabilities, have been subjected to the disproportionate use of force owing to their disability in cases where distress, non-compliance or communication barriers related to impairment are assumed to be a threat or disrespectful behaviour during law enforcement operations. Operations in those contexts have often resulted in unlawful killings.</w:t>
      </w:r>
      <w:r w:rsidR="00766FF5" w:rsidRPr="00A800E0">
        <w:rPr>
          <w:vertAlign w:val="superscript"/>
        </w:rPr>
        <w:footnoteReference w:id="44"/>
      </w:r>
    </w:p>
    <w:p w14:paraId="6DA7F014" w14:textId="427DB1D0" w:rsidR="00766FF5" w:rsidRPr="00A800E0" w:rsidRDefault="006F0E17" w:rsidP="006F0E17">
      <w:pPr>
        <w:pStyle w:val="SingleTxtG"/>
      </w:pPr>
      <w:r w:rsidRPr="00A800E0">
        <w:rPr>
          <w:rFonts w:asciiTheme="majorBidi" w:hAnsiTheme="majorBidi" w:cstheme="majorBidi"/>
        </w:rPr>
        <w:t>85.</w:t>
      </w:r>
      <w:r w:rsidRPr="00A800E0">
        <w:rPr>
          <w:rFonts w:asciiTheme="majorBidi" w:hAnsiTheme="majorBidi" w:cstheme="majorBidi"/>
        </w:rPr>
        <w:tab/>
      </w:r>
      <w:r w:rsidR="00766FF5" w:rsidRPr="00A800E0">
        <w:t>Arbitrary use of force includes instances where persons with disabilities are committed by the police to psychiatric facilities in response to an individual crisis, and instances of police responding to so-called wellness checks requested by service providers or family members. These incidents often involve disproportional use of force, including force resulting in death.</w:t>
      </w:r>
      <w:r w:rsidR="00DE4F13" w:rsidRPr="00A800E0">
        <w:t xml:space="preserve"> </w:t>
      </w:r>
    </w:p>
    <w:p w14:paraId="5EB2274D" w14:textId="0FFEC492" w:rsidR="00766FF5" w:rsidRPr="00A800E0" w:rsidRDefault="006F0E17" w:rsidP="006F0E17">
      <w:pPr>
        <w:pStyle w:val="SingleTxtG"/>
      </w:pPr>
      <w:r w:rsidRPr="00A800E0">
        <w:rPr>
          <w:rFonts w:asciiTheme="majorBidi" w:hAnsiTheme="majorBidi" w:cstheme="majorBidi"/>
        </w:rPr>
        <w:t>86.</w:t>
      </w:r>
      <w:r w:rsidRPr="00A800E0">
        <w:rPr>
          <w:rFonts w:asciiTheme="majorBidi" w:hAnsiTheme="majorBidi" w:cstheme="majorBidi"/>
        </w:rPr>
        <w:tab/>
      </w:r>
      <w:r w:rsidR="00766FF5" w:rsidRPr="00A800E0">
        <w:t>The intersection of disability with poverty, homelessness or racial or ethnic minority status is associated with a high risk of police brutality and extrajudicial killings. Persons with disabilities in street situations, living in precarious circumstances and/or living in rural or remote areas are often exposed to systemic abuse, arbitrary detention, institutionalization and violence due to perceived or actual impairment coupled with drug dependency.</w:t>
      </w:r>
      <w:r w:rsidR="00766FF5" w:rsidRPr="00A800E0">
        <w:rPr>
          <w:rStyle w:val="FootnoteReference"/>
        </w:rPr>
        <w:footnoteReference w:id="45"/>
      </w:r>
      <w:r w:rsidR="00766FF5" w:rsidRPr="00A800E0">
        <w:t xml:space="preserve"> Perpetrators include, among others, authorities and private actors whose actions are tolerated by the authorities. Disability stigma and the criminalization of drug consumption increase detention, lead to the loss of community networks and heighten the risks of disappearance and trafficking for persons with disabilities.</w:t>
      </w:r>
      <w:r w:rsidR="00766FF5" w:rsidRPr="00A800E0">
        <w:rPr>
          <w:vertAlign w:val="superscript"/>
        </w:rPr>
        <w:footnoteReference w:id="46"/>
      </w:r>
      <w:r w:rsidR="00DE4F13" w:rsidRPr="00A800E0">
        <w:t xml:space="preserve"> </w:t>
      </w:r>
    </w:p>
    <w:p w14:paraId="739A8E82" w14:textId="73B7F4A9" w:rsidR="00766FF5" w:rsidRPr="00A800E0" w:rsidRDefault="006F0E17" w:rsidP="006F0E17">
      <w:pPr>
        <w:pStyle w:val="SingleTxtG"/>
      </w:pPr>
      <w:r w:rsidRPr="00A800E0">
        <w:rPr>
          <w:rFonts w:asciiTheme="majorBidi" w:hAnsiTheme="majorBidi" w:cstheme="majorBidi"/>
        </w:rPr>
        <w:t>87.</w:t>
      </w:r>
      <w:r w:rsidRPr="00A800E0">
        <w:rPr>
          <w:rFonts w:asciiTheme="majorBidi" w:hAnsiTheme="majorBidi" w:cstheme="majorBidi"/>
        </w:rPr>
        <w:tab/>
      </w:r>
      <w:r w:rsidR="00766FF5" w:rsidRPr="00A800E0">
        <w:t>Persons with disabilities in detention face disparities in access to healthcare and a lack of reasonable accommodation and disability-related support. They also have difficulty maintaining their psychosocial well-being when incarcerated. In addition, women with disabilities are subjected to dismissive bullying and other degrading treatment by law enforcement staff.</w:t>
      </w:r>
    </w:p>
    <w:p w14:paraId="0B5A13C1" w14:textId="2210A5DE" w:rsidR="00766FF5" w:rsidRPr="00A800E0" w:rsidRDefault="006F0E17" w:rsidP="006F0E17">
      <w:pPr>
        <w:pStyle w:val="SingleTxtG"/>
        <w:rPr>
          <w:b/>
        </w:rPr>
      </w:pPr>
      <w:r w:rsidRPr="00A800E0">
        <w:rPr>
          <w:rFonts w:asciiTheme="majorBidi" w:hAnsiTheme="majorBidi" w:cstheme="majorBidi"/>
        </w:rPr>
        <w:t>88.</w:t>
      </w:r>
      <w:r w:rsidRPr="00A800E0">
        <w:rPr>
          <w:rFonts w:asciiTheme="majorBidi" w:hAnsiTheme="majorBidi" w:cstheme="majorBidi"/>
        </w:rPr>
        <w:tab/>
      </w:r>
      <w:r w:rsidR="00766FF5" w:rsidRPr="00A800E0">
        <w:rPr>
          <w:b/>
        </w:rPr>
        <w:t>States Parties should prevent excessive use of force, investigate alleged perpetrators and bring them to justice and ensure that persons with disabilities, including persons in rural or remote areas, have access to justice and effective remedies. States Parties should prevent the arbitrary detention of homeless persons with disabilities. Individual crises should be addressed without coercion, in a non-medical manner. States Parties should train law enforcement officials in de-escalating all potential situations of violence, and raise awareness about the rights of persons with disabilities and the diverse types of distress and trauma reactions.</w:t>
      </w:r>
    </w:p>
    <w:p w14:paraId="19B496C7" w14:textId="77777777" w:rsidR="00766FF5" w:rsidRPr="00A800E0" w:rsidRDefault="00766FF5" w:rsidP="00766FF5">
      <w:pPr>
        <w:pStyle w:val="H23G"/>
      </w:pPr>
      <w:r w:rsidRPr="00A800E0">
        <w:rPr>
          <w:bCs/>
        </w:rPr>
        <w:tab/>
        <w:t>9.</w:t>
      </w:r>
      <w:r w:rsidRPr="00A800E0">
        <w:rPr>
          <w:bCs/>
        </w:rPr>
        <w:tab/>
      </w:r>
      <w:r w:rsidRPr="00A800E0">
        <w:t>Disability-based violence and discrimination in the justice sector</w:t>
      </w:r>
    </w:p>
    <w:p w14:paraId="40090498" w14:textId="611FF541" w:rsidR="00766FF5" w:rsidRPr="00A800E0" w:rsidRDefault="006F0E17" w:rsidP="006F0E17">
      <w:pPr>
        <w:pStyle w:val="SingleTxtG"/>
      </w:pPr>
      <w:r w:rsidRPr="00A800E0">
        <w:rPr>
          <w:rFonts w:asciiTheme="majorBidi" w:hAnsiTheme="majorBidi" w:cstheme="majorBidi"/>
        </w:rPr>
        <w:t>89.</w:t>
      </w:r>
      <w:r w:rsidRPr="00A800E0">
        <w:rPr>
          <w:rFonts w:asciiTheme="majorBidi" w:hAnsiTheme="majorBidi" w:cstheme="majorBidi"/>
        </w:rPr>
        <w:tab/>
      </w:r>
      <w:r w:rsidR="00766FF5" w:rsidRPr="00A800E0">
        <w:t xml:space="preserve">Barriers to access to justice for persons with disabilities perpetuate violence. Barriers include the lack of procedural accommodations and reasonable accommodation, biases and normalization of violence among law enforcement officers, the lack of awareness of persons with disabilities about their rights, retraumatization throughout the justice system, the fear of reprisals, the lack of acknowledgment of disability-based violence, and the procedural, </w:t>
      </w:r>
      <w:r w:rsidR="00766FF5" w:rsidRPr="00A800E0">
        <w:lastRenderedPageBreak/>
        <w:t>economic and legal obstacles for participation of persons with disabilities in judicial procedures.</w:t>
      </w:r>
    </w:p>
    <w:p w14:paraId="35020CD1" w14:textId="144CCB4D" w:rsidR="00766FF5" w:rsidRPr="00A800E0" w:rsidRDefault="006F0E17" w:rsidP="006F0E17">
      <w:pPr>
        <w:pStyle w:val="SingleTxtG"/>
        <w:rPr>
          <w:b/>
          <w:bCs/>
        </w:rPr>
      </w:pPr>
      <w:r w:rsidRPr="00A800E0">
        <w:rPr>
          <w:rFonts w:asciiTheme="majorBidi" w:hAnsiTheme="majorBidi" w:cstheme="majorBidi"/>
        </w:rPr>
        <w:t>90.</w:t>
      </w:r>
      <w:r w:rsidRPr="00A800E0">
        <w:rPr>
          <w:rFonts w:asciiTheme="majorBidi" w:hAnsiTheme="majorBidi" w:cstheme="majorBidi"/>
        </w:rPr>
        <w:tab/>
      </w:r>
      <w:r w:rsidR="00766FF5" w:rsidRPr="00A800E0">
        <w:rPr>
          <w:b/>
          <w:bCs/>
        </w:rPr>
        <w:t>States Parties should combat stigmatization and discriminatory practices in the justice system; eliminate provisions denying legal standing for persons with disabilities based on disability; and ensure procedural and gender- and age-appropriate accommodation and support mechanisms for victims throughout judicial procedures.</w:t>
      </w:r>
    </w:p>
    <w:p w14:paraId="2AB28059" w14:textId="77777777" w:rsidR="00766FF5" w:rsidRPr="00A800E0" w:rsidRDefault="00766FF5" w:rsidP="00766FF5">
      <w:pPr>
        <w:pStyle w:val="H23G"/>
      </w:pPr>
      <w:r w:rsidRPr="00A800E0">
        <w:tab/>
        <w:t>10.</w:t>
      </w:r>
      <w:r w:rsidRPr="00A800E0">
        <w:tab/>
        <w:t xml:space="preserve">Denial of support </w:t>
      </w:r>
    </w:p>
    <w:p w14:paraId="1CF2A8AE" w14:textId="2D9A521C" w:rsidR="00766FF5" w:rsidRPr="00A800E0" w:rsidRDefault="006F0E17" w:rsidP="006F0E17">
      <w:pPr>
        <w:pStyle w:val="SingleTxtG"/>
      </w:pPr>
      <w:r w:rsidRPr="00A800E0">
        <w:rPr>
          <w:rFonts w:asciiTheme="majorBidi" w:hAnsiTheme="majorBidi" w:cstheme="majorBidi"/>
        </w:rPr>
        <w:t>91.</w:t>
      </w:r>
      <w:r w:rsidRPr="00A800E0">
        <w:rPr>
          <w:rFonts w:asciiTheme="majorBidi" w:hAnsiTheme="majorBidi" w:cstheme="majorBidi"/>
        </w:rPr>
        <w:tab/>
      </w:r>
      <w:r w:rsidR="00766FF5" w:rsidRPr="00A800E0">
        <w:t>The denial of disability-related support, including personal assistance, communication support, mobility aids, assistive devices and reasonable accommodation, may constitute forms of disability-based violence and coercive control; it can occur in the home, in public places or in the context of services.</w:t>
      </w:r>
    </w:p>
    <w:p w14:paraId="243DE697" w14:textId="77777777" w:rsidR="00766FF5" w:rsidRPr="00A800E0" w:rsidRDefault="00766FF5" w:rsidP="00766FF5">
      <w:pPr>
        <w:pStyle w:val="H23G"/>
      </w:pPr>
      <w:r w:rsidRPr="00A800E0">
        <w:tab/>
        <w:t>11.</w:t>
      </w:r>
      <w:r w:rsidRPr="00A800E0">
        <w:tab/>
        <w:t>Abusive interactions in the context of support arrangements</w:t>
      </w:r>
    </w:p>
    <w:p w14:paraId="75C3FE5A" w14:textId="27EEFAEF" w:rsidR="00766FF5" w:rsidRPr="00A800E0" w:rsidRDefault="006F0E17" w:rsidP="006F0E17">
      <w:pPr>
        <w:pStyle w:val="SingleTxtG"/>
      </w:pPr>
      <w:r w:rsidRPr="00A800E0">
        <w:rPr>
          <w:rFonts w:asciiTheme="majorBidi" w:hAnsiTheme="majorBidi" w:cstheme="majorBidi"/>
        </w:rPr>
        <w:t>92.</w:t>
      </w:r>
      <w:r w:rsidRPr="00A800E0">
        <w:rPr>
          <w:rFonts w:asciiTheme="majorBidi" w:hAnsiTheme="majorBidi" w:cstheme="majorBidi"/>
        </w:rPr>
        <w:tab/>
      </w:r>
      <w:r w:rsidR="00766FF5" w:rsidRPr="00A800E0">
        <w:t>Disability-based violence frequently arises from unequal power relations between persons with disabilities and those who provide support, care or services. Violence does not arise from the need for support itself, but from support arrangements organized around dependency, control, substitute decision-making or institutional responses rather than the person</w:t>
      </w:r>
      <w:r w:rsidR="00441B88">
        <w:t>’</w:t>
      </w:r>
      <w:r w:rsidR="00766FF5" w:rsidRPr="00A800E0">
        <w:t>s rights, will and preference.</w:t>
      </w:r>
    </w:p>
    <w:p w14:paraId="7B01B82E" w14:textId="1F102AE7" w:rsidR="00766FF5" w:rsidRPr="00A800E0" w:rsidRDefault="006F0E17" w:rsidP="006F0E17">
      <w:pPr>
        <w:pStyle w:val="SingleTxtG"/>
      </w:pPr>
      <w:r w:rsidRPr="00A800E0">
        <w:rPr>
          <w:rFonts w:asciiTheme="majorBidi" w:hAnsiTheme="majorBidi" w:cstheme="majorBidi"/>
        </w:rPr>
        <w:t>93.</w:t>
      </w:r>
      <w:r w:rsidRPr="00A800E0">
        <w:rPr>
          <w:rFonts w:asciiTheme="majorBidi" w:hAnsiTheme="majorBidi" w:cstheme="majorBidi"/>
        </w:rPr>
        <w:tab/>
      </w:r>
      <w:r w:rsidR="00766FF5" w:rsidRPr="00A800E0">
        <w:t xml:space="preserve">These power imbalances are often reinforced by discriminatory legal and policy frameworks and the absence of accessible, individualized and community-based support. Social exclusion and segregated settings may further increase dependency by limiting opportunities for persons with disabilities to exercise choice and control over their lives and participate in the community on an equal basis with others. </w:t>
      </w:r>
    </w:p>
    <w:p w14:paraId="0C03B5B9" w14:textId="197455E6" w:rsidR="00766FF5" w:rsidRPr="00A800E0" w:rsidRDefault="006F0E17" w:rsidP="006F0E17">
      <w:pPr>
        <w:pStyle w:val="SingleTxtG"/>
      </w:pPr>
      <w:r w:rsidRPr="00A800E0">
        <w:rPr>
          <w:rFonts w:asciiTheme="majorBidi" w:hAnsiTheme="majorBidi" w:cstheme="majorBidi"/>
        </w:rPr>
        <w:t>94.</w:t>
      </w:r>
      <w:r w:rsidRPr="00A800E0">
        <w:rPr>
          <w:rFonts w:asciiTheme="majorBidi" w:hAnsiTheme="majorBidi" w:cstheme="majorBidi"/>
        </w:rPr>
        <w:tab/>
      </w:r>
      <w:r w:rsidR="00766FF5" w:rsidRPr="00A800E0">
        <w:t>Providing support exclusively within the family or household can lead to violence when situations of crisis or heightened distress cannot be managed well or when family supporters experience stress, which could lead to violence or neglect.</w:t>
      </w:r>
      <w:r w:rsidR="00766FF5" w:rsidRPr="00A800E0">
        <w:rPr>
          <w:rFonts w:ascii="Segoe UI" w:eastAsia="Times New Roman" w:hAnsi="Segoe UI" w:cs="Segoe UI"/>
          <w:sz w:val="18"/>
          <w:szCs w:val="18"/>
        </w:rPr>
        <w:t xml:space="preserve"> </w:t>
      </w:r>
    </w:p>
    <w:p w14:paraId="055F3B2C" w14:textId="63DE1B1B" w:rsidR="00766FF5" w:rsidRPr="00A800E0" w:rsidRDefault="006F0E17" w:rsidP="006F0E17">
      <w:pPr>
        <w:pStyle w:val="SingleTxtG"/>
        <w:rPr>
          <w:b/>
          <w:bCs/>
        </w:rPr>
      </w:pPr>
      <w:r w:rsidRPr="00A800E0">
        <w:rPr>
          <w:rFonts w:asciiTheme="majorBidi" w:hAnsiTheme="majorBidi" w:cstheme="majorBidi"/>
        </w:rPr>
        <w:t>95.</w:t>
      </w:r>
      <w:r w:rsidRPr="00A800E0">
        <w:rPr>
          <w:rFonts w:asciiTheme="majorBidi" w:hAnsiTheme="majorBidi" w:cstheme="majorBidi"/>
        </w:rPr>
        <w:tab/>
      </w:r>
      <w:r w:rsidR="00766FF5" w:rsidRPr="00A800E0">
        <w:rPr>
          <w:b/>
          <w:bCs/>
        </w:rPr>
        <w:t>States Parties should address the structural conditions that concentrate power over the lives of persons with disabilities. They should ensure access to rights-based, individualized and community-based support systems that promote autonomy, self</w:t>
      </w:r>
      <w:r w:rsidR="00441B88">
        <w:rPr>
          <w:b/>
          <w:bCs/>
        </w:rPr>
        <w:noBreakHyphen/>
      </w:r>
      <w:r w:rsidR="00766FF5" w:rsidRPr="00A800E0">
        <w:rPr>
          <w:b/>
          <w:bCs/>
        </w:rPr>
        <w:t>determination and inclusion in the community. States should ensure capacity</w:t>
      </w:r>
      <w:r w:rsidR="00441B88">
        <w:rPr>
          <w:b/>
          <w:bCs/>
        </w:rPr>
        <w:noBreakHyphen/>
      </w:r>
      <w:r w:rsidR="00766FF5" w:rsidRPr="00A800E0">
        <w:rPr>
          <w:b/>
          <w:bCs/>
        </w:rPr>
        <w:t>building opportunities for family supporters, support workers and service providers on the provision of support in compliance with the Convention.</w:t>
      </w:r>
    </w:p>
    <w:p w14:paraId="316DCCF8" w14:textId="77777777" w:rsidR="00766FF5" w:rsidRPr="00A800E0" w:rsidRDefault="00766FF5" w:rsidP="00766FF5">
      <w:pPr>
        <w:pStyle w:val="H23G"/>
      </w:pPr>
      <w:r w:rsidRPr="00A800E0">
        <w:tab/>
        <w:t>12.</w:t>
      </w:r>
      <w:r w:rsidRPr="00A800E0">
        <w:tab/>
        <w:t>Disability-based violence in situations of risk</w:t>
      </w:r>
    </w:p>
    <w:p w14:paraId="5C5D1298" w14:textId="7D92D3B4" w:rsidR="00766FF5" w:rsidRPr="00A800E0" w:rsidRDefault="006F0E17" w:rsidP="006F0E17">
      <w:pPr>
        <w:pStyle w:val="SingleTxtG"/>
        <w:rPr>
          <w:rFonts w:eastAsia="Arial"/>
        </w:rPr>
      </w:pPr>
      <w:r w:rsidRPr="00A800E0">
        <w:rPr>
          <w:rFonts w:asciiTheme="majorBidi" w:eastAsia="Arial" w:hAnsiTheme="majorBidi" w:cstheme="majorBidi"/>
        </w:rPr>
        <w:t>96.</w:t>
      </w:r>
      <w:r w:rsidRPr="00A800E0">
        <w:rPr>
          <w:rFonts w:asciiTheme="majorBidi" w:eastAsia="Arial" w:hAnsiTheme="majorBidi" w:cstheme="majorBidi"/>
        </w:rPr>
        <w:tab/>
      </w:r>
      <w:r w:rsidR="00766FF5" w:rsidRPr="00A800E0">
        <w:t>Disability-based violence is often exacerbated in situations of risk, including climate</w:t>
      </w:r>
      <w:r w:rsidR="00441B88">
        <w:noBreakHyphen/>
      </w:r>
      <w:r w:rsidR="00766FF5" w:rsidRPr="00A800E0">
        <w:t>related disasters, armed conflicts and occupation, and health and humanitarian emergencies.</w:t>
      </w:r>
      <w:r w:rsidR="00766FF5" w:rsidRPr="00A800E0">
        <w:rPr>
          <w:vertAlign w:val="superscript"/>
        </w:rPr>
        <w:footnoteReference w:id="47"/>
      </w:r>
      <w:r w:rsidR="00766FF5" w:rsidRPr="00A800E0">
        <w:t xml:space="preserve"> The lack of measures to ensure the protection and safety of persons with disabilities in situations of risk, including </w:t>
      </w:r>
      <w:r w:rsidR="00766FF5" w:rsidRPr="00A800E0">
        <w:rPr>
          <w:rFonts w:eastAsia="Arial"/>
        </w:rPr>
        <w:t xml:space="preserve">a failure to prioritize the accessibility and inclusivity of emergency preparedness strategies, communications and humanitarian responses </w:t>
      </w:r>
      <w:r w:rsidR="00766FF5" w:rsidRPr="00A800E0">
        <w:t>and barriers to evacuation</w:t>
      </w:r>
      <w:r w:rsidR="00766FF5" w:rsidRPr="00A800E0">
        <w:rPr>
          <w:vertAlign w:val="superscript"/>
        </w:rPr>
        <w:footnoteReference w:id="48"/>
      </w:r>
      <w:r w:rsidR="00766FF5" w:rsidRPr="00A800E0">
        <w:rPr>
          <w:rFonts w:eastAsia="Arial"/>
        </w:rPr>
        <w:t xml:space="preserve"> can lead to disability-based violence and should be addressed as a root cause of such violence.</w:t>
      </w:r>
      <w:r w:rsidR="00DE4F13" w:rsidRPr="00A800E0">
        <w:rPr>
          <w:rFonts w:eastAsia="Arial"/>
        </w:rPr>
        <w:t xml:space="preserve"> </w:t>
      </w:r>
    </w:p>
    <w:p w14:paraId="799F3C83" w14:textId="63F04C0E" w:rsidR="00766FF5" w:rsidRPr="008F07BF" w:rsidRDefault="006F0E17" w:rsidP="008F07BF">
      <w:pPr>
        <w:pStyle w:val="SingleTxtG"/>
      </w:pPr>
      <w:r w:rsidRPr="00A800E0">
        <w:rPr>
          <w:rFonts w:asciiTheme="majorBidi" w:hAnsiTheme="majorBidi" w:cstheme="majorBidi"/>
        </w:rPr>
        <w:t>97.</w:t>
      </w:r>
      <w:r w:rsidRPr="00A800E0">
        <w:rPr>
          <w:rFonts w:asciiTheme="majorBidi" w:hAnsiTheme="majorBidi" w:cstheme="majorBidi"/>
        </w:rPr>
        <w:tab/>
      </w:r>
      <w:r w:rsidR="00766FF5" w:rsidRPr="00A800E0">
        <w:t>Violence in the above-mentioned contexts encompasses extrajudicial executions; indiscriminate attacks against civilian infrastructure predominantly used by persons with disabilities, including community-based rehabilitation centres; deprivation of the minimum essentials; and arbitrary detention. Persons with disabilities in rural and remote areas have faced exacerbated violence based on disability and geographical location.</w:t>
      </w:r>
    </w:p>
    <w:p w14:paraId="6CE171FC" w14:textId="0B6191CF" w:rsidR="00766FF5" w:rsidRPr="00A800E0" w:rsidRDefault="006F0E17" w:rsidP="006F0E17">
      <w:pPr>
        <w:pStyle w:val="SingleTxtG"/>
      </w:pPr>
      <w:r w:rsidRPr="00A800E0">
        <w:rPr>
          <w:rFonts w:asciiTheme="majorBidi" w:hAnsiTheme="majorBidi" w:cstheme="majorBidi"/>
        </w:rPr>
        <w:t>98.</w:t>
      </w:r>
      <w:r w:rsidRPr="00A800E0">
        <w:rPr>
          <w:rFonts w:asciiTheme="majorBidi" w:hAnsiTheme="majorBidi" w:cstheme="majorBidi"/>
        </w:rPr>
        <w:tab/>
      </w:r>
      <w:r w:rsidR="00766FF5" w:rsidRPr="00A800E0">
        <w:t xml:space="preserve">Climate-related disasters, extreme weather events, such as extreme heat, floods and storms, and slow-onset climate events, such as droughts, may intensify disability-based violence where persons with disabilities are excluded from emergency preparedness, </w:t>
      </w:r>
      <w:r w:rsidR="00766FF5" w:rsidRPr="00A800E0">
        <w:lastRenderedPageBreak/>
        <w:t>evacuation, early warning systems, climate-resilient infrastructure, adaptation measures and rebuilding efforts.</w:t>
      </w:r>
      <w:r w:rsidR="00766FF5" w:rsidRPr="00A800E0">
        <w:rPr>
          <w:vertAlign w:val="superscript"/>
        </w:rPr>
        <w:footnoteReference w:id="49"/>
      </w:r>
      <w:r w:rsidR="00766FF5" w:rsidRPr="00A800E0">
        <w:t xml:space="preserve"> </w:t>
      </w:r>
    </w:p>
    <w:p w14:paraId="1FDECF41" w14:textId="4332E701" w:rsidR="00766FF5" w:rsidRPr="00A800E0" w:rsidRDefault="006F0E17" w:rsidP="006F0E17">
      <w:pPr>
        <w:pStyle w:val="SingleTxtG"/>
        <w:keepNext/>
        <w:keepLines/>
        <w:rPr>
          <w:b/>
          <w:bCs/>
        </w:rPr>
      </w:pPr>
      <w:r w:rsidRPr="00A800E0">
        <w:rPr>
          <w:rFonts w:asciiTheme="majorBidi" w:hAnsiTheme="majorBidi" w:cstheme="majorBidi"/>
        </w:rPr>
        <w:t>99.</w:t>
      </w:r>
      <w:r w:rsidRPr="00A800E0">
        <w:rPr>
          <w:rFonts w:asciiTheme="majorBidi" w:hAnsiTheme="majorBidi" w:cstheme="majorBidi"/>
        </w:rPr>
        <w:tab/>
      </w:r>
      <w:r w:rsidR="00766FF5" w:rsidRPr="00A800E0">
        <w:rPr>
          <w:b/>
          <w:bCs/>
        </w:rPr>
        <w:t>States Parties should ensure that:</w:t>
      </w:r>
    </w:p>
    <w:p w14:paraId="41C1AA15" w14:textId="4934FDB3" w:rsidR="00766FF5" w:rsidRPr="00A800E0" w:rsidRDefault="009358BE" w:rsidP="009358BE">
      <w:pPr>
        <w:pStyle w:val="SingleTxtG"/>
        <w:rPr>
          <w:b/>
          <w:bCs/>
        </w:rPr>
      </w:pPr>
      <w:r w:rsidRPr="00A800E0">
        <w:tab/>
      </w:r>
      <w:r w:rsidR="00766FF5" w:rsidRPr="00A800E0">
        <w:t>(a)</w:t>
      </w:r>
      <w:r w:rsidR="00766FF5" w:rsidRPr="00A800E0">
        <w:tab/>
      </w:r>
      <w:r w:rsidR="00766FF5" w:rsidRPr="00A800E0">
        <w:rPr>
          <w:b/>
          <w:bCs/>
        </w:rPr>
        <w:t xml:space="preserve">Their legislation, policies and strategies related to disaster risk reduction, emergency preparedness, crisis management, humanitarian response, recovery, including readaptation, and reconstruction incorporate disability-inclusive measures, including to address disability-based violence; </w:t>
      </w:r>
    </w:p>
    <w:p w14:paraId="3DA6CDAF" w14:textId="10F58D41" w:rsidR="00766FF5" w:rsidRPr="00A800E0" w:rsidRDefault="009358BE" w:rsidP="009358BE">
      <w:pPr>
        <w:pStyle w:val="SingleTxtG"/>
        <w:rPr>
          <w:b/>
          <w:bCs/>
        </w:rPr>
      </w:pPr>
      <w:r w:rsidRPr="00A800E0">
        <w:tab/>
      </w:r>
      <w:r w:rsidR="00766FF5" w:rsidRPr="00A800E0">
        <w:t>(b)</w:t>
      </w:r>
      <w:r w:rsidR="00766FF5" w:rsidRPr="00A800E0">
        <w:rPr>
          <w:b/>
          <w:bCs/>
        </w:rPr>
        <w:tab/>
        <w:t>Persons with disabilities are closely consulted and actively involved in all decision-making related to risk;</w:t>
      </w:r>
    </w:p>
    <w:p w14:paraId="432D7530" w14:textId="1F136ABF" w:rsidR="00766FF5" w:rsidRPr="00A800E0" w:rsidRDefault="009358BE" w:rsidP="009358BE">
      <w:pPr>
        <w:pStyle w:val="SingleTxtG"/>
        <w:rPr>
          <w:b/>
          <w:bCs/>
        </w:rPr>
      </w:pPr>
      <w:r w:rsidRPr="00A800E0">
        <w:tab/>
      </w:r>
      <w:r w:rsidR="00766FF5" w:rsidRPr="00A800E0">
        <w:t>(c)</w:t>
      </w:r>
      <w:r w:rsidR="00766FF5" w:rsidRPr="00A800E0">
        <w:tab/>
      </w:r>
      <w:r w:rsidR="00766FF5" w:rsidRPr="00A800E0">
        <w:rPr>
          <w:b/>
          <w:bCs/>
        </w:rPr>
        <w:t>Resources for humanitarian action, recovery, readaptation, peacebuilding and reconstruction target persons with disabilities, that they include and guarantee the continuity of accessible support and referral services, including victim support for survivors of disability-based violence, that they take into account intersecting forms of discrimination;</w:t>
      </w:r>
    </w:p>
    <w:p w14:paraId="41F57845" w14:textId="46F2E007" w:rsidR="00766FF5" w:rsidRPr="00A800E0" w:rsidRDefault="009358BE" w:rsidP="009358BE">
      <w:pPr>
        <w:pStyle w:val="SingleTxtG"/>
        <w:rPr>
          <w:b/>
          <w:bCs/>
        </w:rPr>
      </w:pPr>
      <w:r w:rsidRPr="00A800E0">
        <w:tab/>
      </w:r>
      <w:r w:rsidR="00766FF5" w:rsidRPr="00A800E0">
        <w:t>(d)</w:t>
      </w:r>
      <w:r w:rsidR="00766FF5" w:rsidRPr="00A800E0">
        <w:tab/>
      </w:r>
      <w:r w:rsidR="00766FF5" w:rsidRPr="00A800E0">
        <w:rPr>
          <w:b/>
          <w:bCs/>
        </w:rPr>
        <w:t>Persons with disabilities have access to justice and effective remedies for violence faced during situations of risk.</w:t>
      </w:r>
    </w:p>
    <w:p w14:paraId="0113D400" w14:textId="77777777" w:rsidR="00766FF5" w:rsidRPr="00A800E0" w:rsidRDefault="00766FF5" w:rsidP="00766FF5">
      <w:pPr>
        <w:pStyle w:val="H23G"/>
      </w:pPr>
      <w:r w:rsidRPr="00A800E0">
        <w:tab/>
        <w:t>13.</w:t>
      </w:r>
      <w:r w:rsidRPr="00A800E0">
        <w:tab/>
        <w:t xml:space="preserve">Disability-based violence and international crimes </w:t>
      </w:r>
    </w:p>
    <w:p w14:paraId="70B8AACF" w14:textId="4E5F9062" w:rsidR="00766FF5" w:rsidRPr="00A800E0" w:rsidRDefault="006F0E17" w:rsidP="006F0E17">
      <w:pPr>
        <w:pStyle w:val="SingleTxtG"/>
      </w:pPr>
      <w:r w:rsidRPr="00A800E0">
        <w:rPr>
          <w:rFonts w:asciiTheme="majorBidi" w:hAnsiTheme="majorBidi" w:cstheme="majorBidi"/>
        </w:rPr>
        <w:t>100.</w:t>
      </w:r>
      <w:r w:rsidRPr="00A800E0">
        <w:rPr>
          <w:rFonts w:asciiTheme="majorBidi" w:hAnsiTheme="majorBidi" w:cstheme="majorBidi"/>
        </w:rPr>
        <w:tab/>
      </w:r>
      <w:r w:rsidR="00766FF5" w:rsidRPr="00A800E0">
        <w:t>Some forms of disability-based violence can constitute international crimes. Disability can be considered as an aggravating factor of crimes against humanity and war crimes.</w:t>
      </w:r>
      <w:r w:rsidR="00766FF5" w:rsidRPr="00A800E0">
        <w:rPr>
          <w:vertAlign w:val="superscript"/>
        </w:rPr>
        <w:footnoteReference w:id="50"/>
      </w:r>
      <w:r w:rsidR="00766FF5" w:rsidRPr="00A800E0">
        <w:t xml:space="preserve"> Many persons with disabilities have been subjected to violence because, owing to their disability, they were unable to escape attack. Such violence has included targeted killings, torture, mutilation, the burning of homes and other arson attacks, arbitrary detention, forced displacement, persecution on discriminatory grounds, rape and other forms of sexual violence, and illegal and forced conscription, which may amount to international crimes.</w:t>
      </w:r>
      <w:r w:rsidR="00766FF5" w:rsidRPr="00A800E0">
        <w:rPr>
          <w:vertAlign w:val="superscript"/>
        </w:rPr>
        <w:footnoteReference w:id="51"/>
      </w:r>
      <w:r w:rsidR="00766FF5" w:rsidRPr="00A800E0">
        <w:t xml:space="preserve"> </w:t>
      </w:r>
    </w:p>
    <w:p w14:paraId="777DCAD9" w14:textId="343C6A7E" w:rsidR="00766FF5" w:rsidRPr="00A800E0" w:rsidRDefault="006F0E17" w:rsidP="006F0E17">
      <w:pPr>
        <w:pStyle w:val="SingleTxtG"/>
        <w:rPr>
          <w:b/>
          <w:bCs/>
        </w:rPr>
      </w:pPr>
      <w:r w:rsidRPr="00A800E0">
        <w:rPr>
          <w:rFonts w:asciiTheme="majorBidi" w:hAnsiTheme="majorBidi" w:cstheme="majorBidi"/>
        </w:rPr>
        <w:t>101.</w:t>
      </w:r>
      <w:r w:rsidRPr="00A800E0">
        <w:rPr>
          <w:rFonts w:asciiTheme="majorBidi" w:hAnsiTheme="majorBidi" w:cstheme="majorBidi"/>
        </w:rPr>
        <w:tab/>
      </w:r>
      <w:r w:rsidR="00766FF5" w:rsidRPr="00A800E0">
        <w:rPr>
          <w:b/>
          <w:bCs/>
        </w:rPr>
        <w:t>States Parties participating in the process to draft a United Nations convention on prevention and punishment of crimes against humanity</w:t>
      </w:r>
      <w:r w:rsidR="00766FF5" w:rsidRPr="009B46F5">
        <w:rPr>
          <w:rStyle w:val="FootnoteReference"/>
        </w:rPr>
        <w:footnoteReference w:id="52"/>
      </w:r>
      <w:r w:rsidR="00766FF5" w:rsidRPr="00A800E0">
        <w:rPr>
          <w:b/>
          <w:bCs/>
        </w:rPr>
        <w:t xml:space="preserve"> should incorporate measures into the convention that are inclusive of persons with disabilities and to ensure the accessible and effective participation of persons with disabilities and their representative organizations in the negotiation process. </w:t>
      </w:r>
    </w:p>
    <w:p w14:paraId="2FDBD1C2" w14:textId="77777777" w:rsidR="00766FF5" w:rsidRPr="00A800E0" w:rsidRDefault="00766FF5" w:rsidP="00766FF5">
      <w:pPr>
        <w:pStyle w:val="H23G"/>
      </w:pPr>
      <w:r w:rsidRPr="00A800E0">
        <w:tab/>
        <w:t>14.</w:t>
      </w:r>
      <w:r w:rsidRPr="00A800E0">
        <w:tab/>
        <w:t xml:space="preserve">Other physical, psychological, sexual, domestic and economic forms of violence, and violence in the digital environment </w:t>
      </w:r>
    </w:p>
    <w:p w14:paraId="1F0ABABF" w14:textId="1A636F6C" w:rsidR="00766FF5" w:rsidRPr="00A800E0" w:rsidRDefault="006F0E17" w:rsidP="006F0E17">
      <w:pPr>
        <w:pStyle w:val="SingleTxtG"/>
      </w:pPr>
      <w:r w:rsidRPr="00A800E0">
        <w:rPr>
          <w:rFonts w:asciiTheme="majorBidi" w:hAnsiTheme="majorBidi" w:cstheme="majorBidi"/>
        </w:rPr>
        <w:t>102.</w:t>
      </w:r>
      <w:r w:rsidRPr="00A800E0">
        <w:rPr>
          <w:rFonts w:asciiTheme="majorBidi" w:hAnsiTheme="majorBidi" w:cstheme="majorBidi"/>
        </w:rPr>
        <w:tab/>
      </w:r>
      <w:r w:rsidR="00766FF5" w:rsidRPr="00A800E0">
        <w:t>Disability-based violence includes physical, psychological, sexual, domestic and economic forms of violence, violence in the digital environment or facilitated by technology and involuntary medical or psychiatric interventions; it also includes threats to inflict such harm. These forms of violence are often interconnected, and harm is inflicted in more than one form. Such violence often remains hidden and underreported, which limits access to protection, justice and effective remedies.</w:t>
      </w:r>
    </w:p>
    <w:p w14:paraId="79AAFEDC" w14:textId="77777777" w:rsidR="00766FF5" w:rsidRPr="00A800E0" w:rsidRDefault="00766FF5" w:rsidP="00766FF5">
      <w:pPr>
        <w:pStyle w:val="H23G"/>
      </w:pPr>
      <w:r w:rsidRPr="00A800E0">
        <w:tab/>
      </w:r>
      <w:r w:rsidRPr="00A800E0">
        <w:tab/>
        <w:t>Physical violence, including the use of restraints</w:t>
      </w:r>
    </w:p>
    <w:p w14:paraId="30003715" w14:textId="03ABFE4A" w:rsidR="00766FF5" w:rsidRPr="00A800E0" w:rsidRDefault="006F0E17" w:rsidP="006F0E17">
      <w:pPr>
        <w:pStyle w:val="SingleTxtG"/>
        <w:rPr>
          <w:color w:val="0F4761"/>
        </w:rPr>
      </w:pPr>
      <w:r w:rsidRPr="00A800E0">
        <w:rPr>
          <w:rFonts w:asciiTheme="majorBidi" w:hAnsiTheme="majorBidi" w:cstheme="majorBidi"/>
        </w:rPr>
        <w:t>103.</w:t>
      </w:r>
      <w:r w:rsidRPr="00A800E0">
        <w:rPr>
          <w:rFonts w:asciiTheme="majorBidi" w:hAnsiTheme="majorBidi" w:cstheme="majorBidi"/>
        </w:rPr>
        <w:tab/>
      </w:r>
      <w:r w:rsidR="00766FF5" w:rsidRPr="00A800E0">
        <w:t>Respondents to the survey reported physical assaults and beatings, threats, confinement in closets, toilets and/or other places of isolation, and the use of physical restraints, coercion and electroshock against persons with disabilities. They also reported having been subjected to strangulation attempts, dragged by their hair and tied up. Other forms of violence reported included threatening a person with knives, slamming a person</w:t>
      </w:r>
      <w:r w:rsidR="00441B88">
        <w:t>’</w:t>
      </w:r>
      <w:r w:rsidR="00766FF5" w:rsidRPr="00A800E0">
        <w:t xml:space="preserve">s head against a wall, and preventing persons with disabilities from screaming or complaining while they were subjected to acts of violence. </w:t>
      </w:r>
    </w:p>
    <w:p w14:paraId="134DEF88" w14:textId="700F15AB" w:rsidR="00766FF5" w:rsidRPr="00A800E0" w:rsidRDefault="006F0E17" w:rsidP="006F0E17">
      <w:pPr>
        <w:pStyle w:val="SingleTxtG"/>
      </w:pPr>
      <w:r w:rsidRPr="00A800E0">
        <w:rPr>
          <w:rFonts w:asciiTheme="majorBidi" w:hAnsiTheme="majorBidi" w:cstheme="majorBidi"/>
        </w:rPr>
        <w:lastRenderedPageBreak/>
        <w:t>104.</w:t>
      </w:r>
      <w:r w:rsidRPr="00A800E0">
        <w:rPr>
          <w:rFonts w:asciiTheme="majorBidi" w:hAnsiTheme="majorBidi" w:cstheme="majorBidi"/>
        </w:rPr>
        <w:tab/>
      </w:r>
      <w:r w:rsidR="00766FF5" w:rsidRPr="00A800E0">
        <w:t xml:space="preserve">Children with disabilities are often exposed to corporal punishment and the use of physical and chemical restraints in school settings. </w:t>
      </w:r>
      <w:r w:rsidR="00766FF5" w:rsidRPr="00A800E0">
        <w:rPr>
          <w:color w:val="000000"/>
        </w:rPr>
        <w:t xml:space="preserve">Children with intellectual disabilities and children with psychosocial disabilities are at a higher risk of corporal punishment because of disability stigma, misunderstanding of disability-related behaviours, and intolerance. </w:t>
      </w:r>
      <w:r w:rsidR="00766FF5" w:rsidRPr="00A800E0">
        <w:t>Medication for children with disabilities is sometimes used as a restraint and, more generally, to control behaviour by dampening responsiveness.</w:t>
      </w:r>
    </w:p>
    <w:p w14:paraId="2FEAF226" w14:textId="77777777" w:rsidR="00766FF5" w:rsidRPr="00A800E0" w:rsidRDefault="00766FF5" w:rsidP="00766FF5">
      <w:pPr>
        <w:pStyle w:val="H23G"/>
      </w:pPr>
      <w:r w:rsidRPr="00A800E0">
        <w:tab/>
      </w:r>
      <w:r w:rsidRPr="00A800E0">
        <w:tab/>
        <w:t>Assaults against and killings of persons with albinism</w:t>
      </w:r>
    </w:p>
    <w:p w14:paraId="6358690E" w14:textId="7906A53B" w:rsidR="00766FF5" w:rsidRPr="00A800E0" w:rsidRDefault="006F0E17" w:rsidP="006F0E17">
      <w:pPr>
        <w:pStyle w:val="SingleTxtG"/>
      </w:pPr>
      <w:r w:rsidRPr="00A800E0">
        <w:rPr>
          <w:rFonts w:asciiTheme="majorBidi" w:hAnsiTheme="majorBidi" w:cstheme="majorBidi"/>
        </w:rPr>
        <w:t>105.</w:t>
      </w:r>
      <w:r w:rsidRPr="00A800E0">
        <w:rPr>
          <w:rFonts w:asciiTheme="majorBidi" w:hAnsiTheme="majorBidi" w:cstheme="majorBidi"/>
        </w:rPr>
        <w:tab/>
      </w:r>
      <w:r w:rsidR="00766FF5" w:rsidRPr="00A800E0">
        <w:t>Persons with albinism have been subjected to crimes that target them exclusively.</w:t>
      </w:r>
      <w:r w:rsidR="00766FF5" w:rsidRPr="00A800E0">
        <w:rPr>
          <w:vertAlign w:val="superscript"/>
        </w:rPr>
        <w:footnoteReference w:id="53"/>
      </w:r>
      <w:r w:rsidR="00766FF5" w:rsidRPr="00A800E0">
        <w:t xml:space="preserve"> These attacks include physical and psychological assaults, maiming, killings and trafficking in body parts to be used in witchcraft-related practices. They are rooted in stigma and myths attributing supernatural powers to the physical appearance of persons with albinism. These attacks are characterized by impunity due to the lack of investigation and prosecution of perpetrators, and there is a lack of preventive and protective measures for survivors.</w:t>
      </w:r>
      <w:r w:rsidR="00766FF5" w:rsidRPr="00A800E0">
        <w:rPr>
          <w:vertAlign w:val="superscript"/>
        </w:rPr>
        <w:footnoteReference w:id="54"/>
      </w:r>
      <w:r w:rsidR="00766FF5" w:rsidRPr="00A800E0">
        <w:t xml:space="preserve"> </w:t>
      </w:r>
    </w:p>
    <w:p w14:paraId="51C32257" w14:textId="77777777" w:rsidR="00766FF5" w:rsidRPr="00A800E0" w:rsidRDefault="00766FF5" w:rsidP="00766FF5">
      <w:pPr>
        <w:pStyle w:val="H23G"/>
      </w:pPr>
      <w:r w:rsidRPr="00A800E0">
        <w:tab/>
      </w:r>
      <w:r w:rsidRPr="00A800E0">
        <w:tab/>
        <w:t>Hate crimes</w:t>
      </w:r>
    </w:p>
    <w:p w14:paraId="46093ECB" w14:textId="5D6A557C" w:rsidR="00766FF5" w:rsidRPr="00A800E0" w:rsidRDefault="006F0E17" w:rsidP="006F0E17">
      <w:pPr>
        <w:pStyle w:val="SingleTxtG"/>
      </w:pPr>
      <w:r w:rsidRPr="00A800E0">
        <w:rPr>
          <w:rFonts w:asciiTheme="majorBidi" w:hAnsiTheme="majorBidi" w:cstheme="majorBidi"/>
        </w:rPr>
        <w:t>106.</w:t>
      </w:r>
      <w:r w:rsidRPr="00A800E0">
        <w:rPr>
          <w:rFonts w:asciiTheme="majorBidi" w:hAnsiTheme="majorBidi" w:cstheme="majorBidi"/>
        </w:rPr>
        <w:tab/>
      </w:r>
      <w:r w:rsidR="00766FF5" w:rsidRPr="00A800E0">
        <w:t>Persons with disabilities experience violent crime, injury and assault at much higher rates than other persons.</w:t>
      </w:r>
      <w:r w:rsidR="00766FF5" w:rsidRPr="00A800E0">
        <w:rPr>
          <w:vertAlign w:val="superscript"/>
        </w:rPr>
        <w:footnoteReference w:id="55"/>
      </w:r>
      <w:r w:rsidR="00766FF5" w:rsidRPr="00A800E0">
        <w:t xml:space="preserve"> Intersectional discrimination on grounds of religion and ethnicity increases the risk of being targeted in hate crimes. In several States Parties, the legal frameworks addressing hate-motivated crimes include disability as a protected characteristic.</w:t>
      </w:r>
      <w:r w:rsidR="00766FF5" w:rsidRPr="00A800E0">
        <w:rPr>
          <w:vertAlign w:val="superscript"/>
        </w:rPr>
        <w:footnoteReference w:id="56"/>
      </w:r>
      <w:r w:rsidR="00766FF5" w:rsidRPr="00A800E0">
        <w:t xml:space="preserve"> Sheltered workshops and other segregated environments can be unsafe and can increase the risk of disability hate crimes.</w:t>
      </w:r>
    </w:p>
    <w:p w14:paraId="6BBACDC1" w14:textId="77777777" w:rsidR="00766FF5" w:rsidRPr="00A800E0" w:rsidRDefault="00766FF5" w:rsidP="00766FF5">
      <w:pPr>
        <w:pStyle w:val="H23G"/>
      </w:pPr>
      <w:r w:rsidRPr="00A800E0">
        <w:tab/>
      </w:r>
      <w:r w:rsidRPr="00A800E0">
        <w:tab/>
        <w:t>Psychological violence and abuse</w:t>
      </w:r>
    </w:p>
    <w:p w14:paraId="78746769" w14:textId="481DE625" w:rsidR="00766FF5" w:rsidRPr="00A800E0" w:rsidRDefault="006F0E17" w:rsidP="006F0E17">
      <w:pPr>
        <w:pStyle w:val="SingleTxtG"/>
      </w:pPr>
      <w:r w:rsidRPr="00A800E0">
        <w:rPr>
          <w:rFonts w:asciiTheme="majorBidi" w:hAnsiTheme="majorBidi" w:cstheme="majorBidi"/>
        </w:rPr>
        <w:t>107.</w:t>
      </w:r>
      <w:r w:rsidRPr="00A800E0">
        <w:rPr>
          <w:rFonts w:asciiTheme="majorBidi" w:hAnsiTheme="majorBidi" w:cstheme="majorBidi"/>
        </w:rPr>
        <w:tab/>
      </w:r>
      <w:r w:rsidR="00766FF5" w:rsidRPr="00A800E0">
        <w:t>Persons with disabilities sometimes experience emotional abuse, humiliation and psychological harassment and violence. Some relatives, intimate partners and caregivers engage in psychological violence by using derogatory language, insults or pejorative remarks, blaming individuals for requiring support, or disclosing sensitive personal information. Psychological violence includes disdain in personal interactions, mockery of impairment, exclusion from social life, underestimation and humiliation. Online interactions on social media may amount to psychological abuse, for instance in the form of encouragement of suicide.</w:t>
      </w:r>
    </w:p>
    <w:p w14:paraId="24B0228E" w14:textId="1AB90C69" w:rsidR="00766FF5" w:rsidRPr="00A800E0" w:rsidRDefault="006F0E17" w:rsidP="006F0E17">
      <w:pPr>
        <w:pStyle w:val="SingleTxtG"/>
      </w:pPr>
      <w:r w:rsidRPr="00A800E0">
        <w:rPr>
          <w:rFonts w:asciiTheme="majorBidi" w:hAnsiTheme="majorBidi" w:cstheme="majorBidi"/>
        </w:rPr>
        <w:t>108.</w:t>
      </w:r>
      <w:r w:rsidRPr="00A800E0">
        <w:rPr>
          <w:rFonts w:asciiTheme="majorBidi" w:hAnsiTheme="majorBidi" w:cstheme="majorBidi"/>
        </w:rPr>
        <w:tab/>
      </w:r>
      <w:r w:rsidR="00766FF5" w:rsidRPr="00A800E0">
        <w:t>Overtly non-consensual administration of psychiatric medication, and institutionalization or the threat of institutionalization, represent forms of interrelated physical and psychological violence. Verbal abuse, invalidation and mistreatment in healthcare settings constitute forms of psychological violence.</w:t>
      </w:r>
    </w:p>
    <w:p w14:paraId="142A5B5C" w14:textId="0DBF36E9" w:rsidR="00766FF5" w:rsidRPr="00A800E0" w:rsidRDefault="006F0E17" w:rsidP="006F0E17">
      <w:pPr>
        <w:pStyle w:val="SingleTxtG"/>
        <w:rPr>
          <w:color w:val="000000"/>
        </w:rPr>
      </w:pPr>
      <w:r w:rsidRPr="00A800E0">
        <w:rPr>
          <w:rFonts w:asciiTheme="majorBidi" w:hAnsiTheme="majorBidi" w:cstheme="majorBidi"/>
        </w:rPr>
        <w:t>109.</w:t>
      </w:r>
      <w:r w:rsidRPr="00A800E0">
        <w:rPr>
          <w:rFonts w:asciiTheme="majorBidi" w:hAnsiTheme="majorBidi" w:cstheme="majorBidi"/>
        </w:rPr>
        <w:tab/>
      </w:r>
      <w:r w:rsidR="00766FF5" w:rsidRPr="00A800E0">
        <w:t xml:space="preserve">Bullying by co-workers at the workplace and the denial of reasonable accommodation to employees and customers with disabilities were reported. </w:t>
      </w:r>
      <w:r w:rsidR="00766FF5" w:rsidRPr="00A800E0">
        <w:rPr>
          <w:color w:val="000000"/>
        </w:rPr>
        <w:t>Persons with disabilities are sometimes subjected to scrutiny and surveillance in the workplace, both from supervisors and as a result of policies encouraging co-workers to report suspected impairment.</w:t>
      </w:r>
    </w:p>
    <w:p w14:paraId="37FF8D9F" w14:textId="77777777" w:rsidR="00766FF5" w:rsidRPr="00A800E0" w:rsidRDefault="00766FF5" w:rsidP="00766FF5">
      <w:pPr>
        <w:pStyle w:val="H23G"/>
      </w:pPr>
      <w:r w:rsidRPr="00A800E0">
        <w:tab/>
      </w:r>
      <w:r w:rsidRPr="00A800E0">
        <w:tab/>
        <w:t>Hate speech</w:t>
      </w:r>
    </w:p>
    <w:p w14:paraId="61E8E540" w14:textId="0C5BC027" w:rsidR="00766FF5" w:rsidRPr="00A800E0" w:rsidRDefault="006F0E17" w:rsidP="006F0E17">
      <w:pPr>
        <w:pStyle w:val="SingleTxtG"/>
      </w:pPr>
      <w:r w:rsidRPr="00A800E0">
        <w:rPr>
          <w:rFonts w:asciiTheme="majorBidi" w:hAnsiTheme="majorBidi" w:cstheme="majorBidi"/>
        </w:rPr>
        <w:t>110.</w:t>
      </w:r>
      <w:r w:rsidRPr="00A800E0">
        <w:rPr>
          <w:rFonts w:asciiTheme="majorBidi" w:hAnsiTheme="majorBidi" w:cstheme="majorBidi"/>
        </w:rPr>
        <w:tab/>
      </w:r>
      <w:r w:rsidR="00766FF5" w:rsidRPr="00A800E0">
        <w:t>Disability-related hate speech reinforces discrimination against persons with disabilities. Such hate speech includes denigrating comments, intimidating statements, threats of violence, and the spread of harmful narratives about persons with disabilities as a group.</w:t>
      </w:r>
    </w:p>
    <w:p w14:paraId="3EAFB5F2" w14:textId="4FED78BA" w:rsidR="00766FF5" w:rsidRPr="00A800E0" w:rsidRDefault="006F0E17" w:rsidP="006F0E17">
      <w:pPr>
        <w:pStyle w:val="SingleTxtG"/>
      </w:pPr>
      <w:r w:rsidRPr="00A800E0">
        <w:rPr>
          <w:rFonts w:asciiTheme="majorBidi" w:hAnsiTheme="majorBidi" w:cstheme="majorBidi"/>
        </w:rPr>
        <w:lastRenderedPageBreak/>
        <w:t>111.</w:t>
      </w:r>
      <w:r w:rsidRPr="00A800E0">
        <w:rPr>
          <w:rFonts w:asciiTheme="majorBidi" w:hAnsiTheme="majorBidi" w:cstheme="majorBidi"/>
        </w:rPr>
        <w:tab/>
      </w:r>
      <w:r w:rsidR="00766FF5" w:rsidRPr="00A800E0">
        <w:t>Hate speech occurs in the community and online. It also occurs in statements by high</w:t>
      </w:r>
      <w:r w:rsidR="00441B88">
        <w:noBreakHyphen/>
      </w:r>
      <w:r w:rsidR="00766FF5" w:rsidRPr="00A800E0">
        <w:t xml:space="preserve">ranking officials, and in news media and other mass media. Persons with disabilities sometimes avoid certain locations and activities to protect themselves from victimization. Hate speech restricts participation in public life, impedes human rights advocacy, increases fear and isolation and discourages the reporting of violence. </w:t>
      </w:r>
    </w:p>
    <w:p w14:paraId="75E3DBC1" w14:textId="2DFE929E" w:rsidR="00766FF5" w:rsidRPr="00A800E0" w:rsidRDefault="006F0E17" w:rsidP="006F0E17">
      <w:pPr>
        <w:pStyle w:val="SingleTxtG"/>
      </w:pPr>
      <w:r w:rsidRPr="00A800E0">
        <w:rPr>
          <w:rFonts w:asciiTheme="majorBidi" w:hAnsiTheme="majorBidi" w:cstheme="majorBidi"/>
        </w:rPr>
        <w:t>112.</w:t>
      </w:r>
      <w:r w:rsidRPr="00A800E0">
        <w:rPr>
          <w:rFonts w:asciiTheme="majorBidi" w:hAnsiTheme="majorBidi" w:cstheme="majorBidi"/>
        </w:rPr>
        <w:tab/>
      </w:r>
      <w:r w:rsidR="00766FF5" w:rsidRPr="00A800E0">
        <w:t>Portrayals of persons with disabilities as perpetrators of welfare fraud that emerge during periods of austerity intensify their risk of being subjected to hate crimes.</w:t>
      </w:r>
      <w:r w:rsidR="00766FF5" w:rsidRPr="00A800E0">
        <w:rPr>
          <w:vertAlign w:val="superscript"/>
        </w:rPr>
        <w:t xml:space="preserve"> </w:t>
      </w:r>
      <w:r w:rsidR="00766FF5" w:rsidRPr="00A800E0">
        <w:rPr>
          <w:vertAlign w:val="superscript"/>
        </w:rPr>
        <w:footnoteReference w:id="57"/>
      </w:r>
      <w:r w:rsidR="00766FF5" w:rsidRPr="00A800E0">
        <w:t xml:space="preserve"> States Parties should combat negative and discriminatory stereotypes against persons with disabilities in public and the media, and address complaints about hate crime by persons with disabilities.</w:t>
      </w:r>
      <w:r w:rsidR="00766FF5" w:rsidRPr="00A800E0">
        <w:rPr>
          <w:vertAlign w:val="superscript"/>
        </w:rPr>
        <w:footnoteReference w:id="58"/>
      </w:r>
    </w:p>
    <w:p w14:paraId="417268F5" w14:textId="77777777" w:rsidR="00766FF5" w:rsidRPr="00A800E0" w:rsidRDefault="00766FF5" w:rsidP="00766FF5">
      <w:pPr>
        <w:pStyle w:val="H23G"/>
      </w:pPr>
      <w:r w:rsidRPr="00A800E0">
        <w:tab/>
      </w:r>
      <w:r w:rsidRPr="00A800E0">
        <w:tab/>
        <w:t>Gaslighting</w:t>
      </w:r>
    </w:p>
    <w:p w14:paraId="5D3163EE" w14:textId="4EDAC0E1" w:rsidR="00766FF5" w:rsidRPr="00A800E0" w:rsidRDefault="006F0E17" w:rsidP="006F0E17">
      <w:pPr>
        <w:pStyle w:val="SingleTxtG"/>
      </w:pPr>
      <w:r w:rsidRPr="00A800E0">
        <w:rPr>
          <w:rFonts w:asciiTheme="majorBidi" w:hAnsiTheme="majorBidi" w:cstheme="majorBidi"/>
        </w:rPr>
        <w:t>113.</w:t>
      </w:r>
      <w:r w:rsidRPr="00A800E0">
        <w:rPr>
          <w:rFonts w:asciiTheme="majorBidi" w:hAnsiTheme="majorBidi" w:cstheme="majorBidi"/>
        </w:rPr>
        <w:tab/>
      </w:r>
      <w:r w:rsidR="00766FF5" w:rsidRPr="00A800E0">
        <w:t>Gaslighting as a form of psychological violence against persons with disabilities, including children with disabilities, occurs when abusive practices are denied, dismissed as trivial and tolerated with impunity. Victims</w:t>
      </w:r>
      <w:r w:rsidR="00441B88">
        <w:t>’</w:t>
      </w:r>
      <w:r w:rsidR="00766FF5" w:rsidRPr="00A800E0">
        <w:t xml:space="preserve"> trauma, fears and complaints are negated by discrediting the victims as unreliable witnesses. </w:t>
      </w:r>
    </w:p>
    <w:p w14:paraId="4AD39500" w14:textId="77777777" w:rsidR="00766FF5" w:rsidRPr="00A800E0" w:rsidRDefault="00766FF5" w:rsidP="00766FF5">
      <w:pPr>
        <w:pStyle w:val="H23G"/>
      </w:pPr>
      <w:r w:rsidRPr="00A800E0">
        <w:tab/>
      </w:r>
      <w:r w:rsidRPr="00A800E0">
        <w:tab/>
        <w:t>Sexual violence</w:t>
      </w:r>
    </w:p>
    <w:p w14:paraId="3207FE49" w14:textId="3922FDCF" w:rsidR="00766FF5" w:rsidRPr="00A800E0" w:rsidRDefault="006F0E17" w:rsidP="006F0E17">
      <w:pPr>
        <w:pStyle w:val="SingleTxtG"/>
        <w:rPr>
          <w:color w:val="000000"/>
        </w:rPr>
      </w:pPr>
      <w:r w:rsidRPr="00A800E0">
        <w:rPr>
          <w:rFonts w:asciiTheme="majorBidi" w:hAnsiTheme="majorBidi" w:cstheme="majorBidi"/>
        </w:rPr>
        <w:t>114.</w:t>
      </w:r>
      <w:r w:rsidRPr="00A800E0">
        <w:rPr>
          <w:rFonts w:asciiTheme="majorBidi" w:hAnsiTheme="majorBidi" w:cstheme="majorBidi"/>
        </w:rPr>
        <w:tab/>
      </w:r>
      <w:r w:rsidR="00766FF5" w:rsidRPr="00A800E0">
        <w:t xml:space="preserve">Persons with disabilities are disproportionately affected by sexual violence, including abuse, rape, coercion, sexual harassment, and infringements of their bodily integrity, privacy, dignity and personal autonomy. Sexual violence is one of the most underreported and unaddressed forms of violence. </w:t>
      </w:r>
    </w:p>
    <w:p w14:paraId="77B315D3" w14:textId="37B853CD" w:rsidR="00766FF5" w:rsidRPr="00A800E0" w:rsidRDefault="006F0E17" w:rsidP="006F0E17">
      <w:pPr>
        <w:pStyle w:val="SingleTxtG"/>
      </w:pPr>
      <w:r w:rsidRPr="00A800E0">
        <w:rPr>
          <w:rFonts w:asciiTheme="majorBidi" w:hAnsiTheme="majorBidi" w:cstheme="majorBidi"/>
        </w:rPr>
        <w:t>115.</w:t>
      </w:r>
      <w:r w:rsidRPr="00A800E0">
        <w:rPr>
          <w:rFonts w:asciiTheme="majorBidi" w:hAnsiTheme="majorBidi" w:cstheme="majorBidi"/>
        </w:rPr>
        <w:tab/>
      </w:r>
      <w:r w:rsidR="00766FF5" w:rsidRPr="00A800E0">
        <w:t>Risks of sexual violence are heightened in institutions. Sexual violence is often compounded by physical and psychological aggression affecting children and women with disabilities at work in public transport or in the street.</w:t>
      </w:r>
      <w:r w:rsidR="00766FF5" w:rsidRPr="00A800E0">
        <w:rPr>
          <w:vertAlign w:val="superscript"/>
        </w:rPr>
        <w:footnoteReference w:id="59"/>
      </w:r>
      <w:r w:rsidR="00766FF5" w:rsidRPr="00A800E0">
        <w:t xml:space="preserve"> Persons with disabilities subjected to sexual violence are exposed to extreme traumatization, control and abuse.</w:t>
      </w:r>
      <w:r w:rsidR="00DE4F13" w:rsidRPr="00A800E0">
        <w:t xml:space="preserve"> </w:t>
      </w:r>
    </w:p>
    <w:p w14:paraId="2C5941A8" w14:textId="6E1B3CBB" w:rsidR="00766FF5" w:rsidRPr="00A800E0" w:rsidRDefault="006F0E17" w:rsidP="006F0E17">
      <w:pPr>
        <w:pStyle w:val="SingleTxtG"/>
      </w:pPr>
      <w:r w:rsidRPr="00A800E0">
        <w:rPr>
          <w:rFonts w:asciiTheme="majorBidi" w:hAnsiTheme="majorBidi" w:cstheme="majorBidi"/>
        </w:rPr>
        <w:t>116.</w:t>
      </w:r>
      <w:r w:rsidRPr="00A800E0">
        <w:rPr>
          <w:rFonts w:asciiTheme="majorBidi" w:hAnsiTheme="majorBidi" w:cstheme="majorBidi"/>
        </w:rPr>
        <w:tab/>
      </w:r>
      <w:r w:rsidR="00766FF5" w:rsidRPr="00A800E0">
        <w:t xml:space="preserve">Sexual violence committed against persons with disabilities in institutions often leads to other forms of disability-based violence, such as psychiatric violence, isolation and forced abortion, used to hide rape and other forms of sexual abuse against women and girls with disabilities. </w:t>
      </w:r>
    </w:p>
    <w:p w14:paraId="77388333" w14:textId="1C7275BB" w:rsidR="00766FF5" w:rsidRPr="00A800E0" w:rsidRDefault="006F0E17" w:rsidP="006F0E17">
      <w:pPr>
        <w:pStyle w:val="SingleTxtG"/>
      </w:pPr>
      <w:r w:rsidRPr="00A800E0">
        <w:rPr>
          <w:rFonts w:asciiTheme="majorBidi" w:hAnsiTheme="majorBidi" w:cstheme="majorBidi"/>
        </w:rPr>
        <w:t>117.</w:t>
      </w:r>
      <w:r w:rsidRPr="00A800E0">
        <w:rPr>
          <w:rFonts w:asciiTheme="majorBidi" w:hAnsiTheme="majorBidi" w:cstheme="majorBidi"/>
        </w:rPr>
        <w:tab/>
      </w:r>
      <w:r w:rsidR="00766FF5" w:rsidRPr="00A800E0">
        <w:t>Sexual violence may result from the manipulation of emotions by an intimate partner.</w:t>
      </w:r>
    </w:p>
    <w:p w14:paraId="4E0E2C12" w14:textId="6443E9F0" w:rsidR="00766FF5" w:rsidRPr="00A800E0" w:rsidRDefault="006F0E17" w:rsidP="006F0E17">
      <w:pPr>
        <w:pStyle w:val="SingleTxtG"/>
      </w:pPr>
      <w:r w:rsidRPr="00A800E0">
        <w:rPr>
          <w:rFonts w:asciiTheme="majorBidi" w:hAnsiTheme="majorBidi" w:cstheme="majorBidi"/>
        </w:rPr>
        <w:t>118.</w:t>
      </w:r>
      <w:r w:rsidRPr="00A800E0">
        <w:rPr>
          <w:rFonts w:asciiTheme="majorBidi" w:hAnsiTheme="majorBidi" w:cstheme="majorBidi"/>
        </w:rPr>
        <w:tab/>
      </w:r>
      <w:r w:rsidR="00766FF5" w:rsidRPr="00A800E0">
        <w:t xml:space="preserve">Discrimination in employment and occupation may result in violence and harassment against persons with disabilities, including sexual harassment, particularly against women with disabilities, young persons with disabilities and gender-nonconforming persons with disabilities. Barriers to access individual remedies in cases of harassment are common. </w:t>
      </w:r>
    </w:p>
    <w:p w14:paraId="10BD81CA" w14:textId="0F779041" w:rsidR="00766FF5" w:rsidRPr="00A800E0" w:rsidRDefault="00594145" w:rsidP="00594145">
      <w:pPr>
        <w:pStyle w:val="H23G"/>
      </w:pPr>
      <w:r w:rsidRPr="00A800E0">
        <w:tab/>
      </w:r>
      <w:r w:rsidRPr="00A800E0">
        <w:tab/>
      </w:r>
      <w:r w:rsidR="00766FF5" w:rsidRPr="00A800E0">
        <w:t>Violence in the home and in the family</w:t>
      </w:r>
    </w:p>
    <w:p w14:paraId="5128CE4A" w14:textId="47C4CEF2" w:rsidR="00766FF5" w:rsidRPr="00A800E0" w:rsidRDefault="006F0E17" w:rsidP="006F0E17">
      <w:pPr>
        <w:pStyle w:val="SingleTxtG"/>
        <w:rPr>
          <w:rFonts w:ascii="Aptos" w:hAnsi="Aptos" w:cs="Aptos"/>
        </w:rPr>
      </w:pPr>
      <w:r w:rsidRPr="00A800E0">
        <w:rPr>
          <w:rFonts w:asciiTheme="majorBidi" w:hAnsiTheme="majorBidi" w:cstheme="majorBidi"/>
        </w:rPr>
        <w:t>119.</w:t>
      </w:r>
      <w:r w:rsidRPr="00A800E0">
        <w:rPr>
          <w:rFonts w:asciiTheme="majorBidi" w:hAnsiTheme="majorBidi" w:cstheme="majorBidi"/>
        </w:rPr>
        <w:tab/>
      </w:r>
      <w:r w:rsidR="00766FF5" w:rsidRPr="00A800E0">
        <w:t>Disability-based violence often occurs in private settings and remains hidden and unaddressed. Socioeconomic deprivation experienced by a family can lead to resentment and acts of aggression against family members with disabilities. Persons with disabilities experiencing violence at home face heightened barriers to reporting abuse, being recognized as credible victims or witnesses, escaping abusive relationships and accessing support and recovery.</w:t>
      </w:r>
      <w:r w:rsidR="00766FF5" w:rsidRPr="00A800E0">
        <w:rPr>
          <w:rFonts w:ascii="Aptos" w:hAnsi="Aptos" w:cs="Aptos"/>
        </w:rPr>
        <w:t xml:space="preserve"> </w:t>
      </w:r>
    </w:p>
    <w:p w14:paraId="257ED7A8" w14:textId="3216E825" w:rsidR="00766FF5" w:rsidRPr="003B1ABA" w:rsidRDefault="006F0E17" w:rsidP="006F0E17">
      <w:pPr>
        <w:pStyle w:val="SingleTxtG"/>
      </w:pPr>
      <w:r w:rsidRPr="00A800E0">
        <w:rPr>
          <w:rFonts w:asciiTheme="majorBidi" w:hAnsiTheme="majorBidi" w:cstheme="majorBidi"/>
        </w:rPr>
        <w:t>120.</w:t>
      </w:r>
      <w:r w:rsidRPr="00A800E0">
        <w:rPr>
          <w:rFonts w:asciiTheme="majorBidi" w:hAnsiTheme="majorBidi" w:cstheme="majorBidi"/>
        </w:rPr>
        <w:tab/>
      </w:r>
      <w:r w:rsidR="00766FF5" w:rsidRPr="00A800E0">
        <w:t xml:space="preserve">Persons with disabilities may experience intimate partner violence through coercive control, threats of institutionalization, isolation, abandonment, sabotage of support arrangements, outing or threats of outing, and barriers to reporting or accessing support. Women with disabilities are often subjected to intimidating acts by partners, including threats to kill or hurt them or to leave them for a non-disabled partner. Many women with disabilities are subjected to extreme physical violence, including repeated rape and sexual assault. Men with disabilities may face physical abuse, psychological abuse, coercive control, financial </w:t>
      </w:r>
      <w:r w:rsidR="00766FF5" w:rsidRPr="00A800E0">
        <w:lastRenderedPageBreak/>
        <w:t>exploitation, neglect and disability-specific abuse linked to dependence on partners for support. Men with disabilities who experience intimate partner violence may face compounded barriers linked to disbelief, stigma surrounding male victimization, dominant norms of masculinity, dependency recognition, reporting and access to support services</w:t>
      </w:r>
      <w:r w:rsidR="00766FF5" w:rsidRPr="003B1ABA">
        <w:t>.</w:t>
      </w:r>
    </w:p>
    <w:p w14:paraId="0E241BA8" w14:textId="460CC8DB" w:rsidR="00766FF5" w:rsidRPr="00A800E0" w:rsidRDefault="00766FF5" w:rsidP="00766FF5">
      <w:pPr>
        <w:pStyle w:val="H23G"/>
      </w:pPr>
      <w:r w:rsidRPr="00A800E0">
        <w:tab/>
      </w:r>
      <w:r w:rsidRPr="00A800E0">
        <w:tab/>
        <w:t>Coercive family control over the sexuality of women and girls with disabilities</w:t>
      </w:r>
    </w:p>
    <w:p w14:paraId="1A45A46C" w14:textId="0DB590B5" w:rsidR="00766FF5" w:rsidRPr="00A800E0" w:rsidRDefault="006F0E17" w:rsidP="006F0E17">
      <w:pPr>
        <w:pStyle w:val="SingleTxtG"/>
        <w:rPr>
          <w:color w:val="000000"/>
        </w:rPr>
      </w:pPr>
      <w:r w:rsidRPr="00A800E0">
        <w:rPr>
          <w:rFonts w:asciiTheme="majorBidi" w:hAnsiTheme="majorBidi" w:cstheme="majorBidi"/>
        </w:rPr>
        <w:t>121.</w:t>
      </w:r>
      <w:r w:rsidRPr="00A800E0">
        <w:rPr>
          <w:rFonts w:asciiTheme="majorBidi" w:hAnsiTheme="majorBidi" w:cstheme="majorBidi"/>
        </w:rPr>
        <w:tab/>
      </w:r>
      <w:r w:rsidR="00766FF5" w:rsidRPr="00A800E0">
        <w:t xml:space="preserve">Women with disabilities are often denied sexual agency and presumed incapable of consent, while sexual violence against them is often underreported, dismissed or disbelieved. This is </w:t>
      </w:r>
      <w:r w:rsidR="00766FF5" w:rsidRPr="00A800E0">
        <w:rPr>
          <w:color w:val="000000"/>
        </w:rPr>
        <w:t>due to a convergence of patriarchy and ableism that affects them uniquely. In some communities, families attempt to prevent sexual assault against women with disabilities by depriving them of both autonomy over their own bodies and sexual self-determination. Some parents believe that they can protect their daughters with disabilities from sexual abuse by limiting the daughters</w:t>
      </w:r>
      <w:r w:rsidR="00441B88">
        <w:rPr>
          <w:color w:val="000000"/>
        </w:rPr>
        <w:t>’</w:t>
      </w:r>
      <w:r w:rsidR="00766FF5" w:rsidRPr="00A800E0">
        <w:rPr>
          <w:color w:val="000000"/>
        </w:rPr>
        <w:t xml:space="preserve"> movements outside the home, forbidding their daughters from attending school, or permitting distance education only. Access to information about sexuality is also restricted so as not to encourage sexual behaviour or in an attempt to prevent sexual abuse by third parties.</w:t>
      </w:r>
    </w:p>
    <w:p w14:paraId="7CC17309" w14:textId="6833D3D4" w:rsidR="00766FF5" w:rsidRPr="00A800E0" w:rsidRDefault="003234B5" w:rsidP="00766FF5">
      <w:pPr>
        <w:pStyle w:val="H23G"/>
      </w:pPr>
      <w:r w:rsidRPr="00A800E0">
        <w:tab/>
      </w:r>
      <w:r w:rsidR="00766FF5" w:rsidRPr="00A800E0">
        <w:tab/>
        <w:t xml:space="preserve">Violence in healthcare services </w:t>
      </w:r>
    </w:p>
    <w:p w14:paraId="24671C21" w14:textId="168DAFE1" w:rsidR="00766FF5" w:rsidRPr="00A800E0" w:rsidRDefault="006F0E17" w:rsidP="006F0E17">
      <w:pPr>
        <w:pStyle w:val="SingleTxtG"/>
      </w:pPr>
      <w:r w:rsidRPr="00A800E0">
        <w:rPr>
          <w:rFonts w:asciiTheme="majorBidi" w:hAnsiTheme="majorBidi" w:cstheme="majorBidi"/>
        </w:rPr>
        <w:t>122.</w:t>
      </w:r>
      <w:r w:rsidRPr="00A800E0">
        <w:rPr>
          <w:rFonts w:asciiTheme="majorBidi" w:hAnsiTheme="majorBidi" w:cstheme="majorBidi"/>
        </w:rPr>
        <w:tab/>
      </w:r>
      <w:r w:rsidR="00766FF5" w:rsidRPr="00A800E0">
        <w:t xml:space="preserve">Alongside attitudinal and physical barriers to accessing healthcare services, persons with disabilities can experience violence in medical settings, for instance when they are deprived of their assistive devices. Institutionalization, disability stereotypes, substitute decision-making and a lack of measures to ensure free and informed consent create conditions that increase the risk of violence and abuse in healthcare settings. </w:t>
      </w:r>
    </w:p>
    <w:p w14:paraId="22AEDB35" w14:textId="77777777" w:rsidR="00766FF5" w:rsidRPr="00A800E0" w:rsidRDefault="00766FF5" w:rsidP="00766FF5">
      <w:pPr>
        <w:pStyle w:val="H23G"/>
      </w:pPr>
      <w:r w:rsidRPr="00A800E0">
        <w:tab/>
      </w:r>
      <w:r w:rsidRPr="00A800E0">
        <w:tab/>
        <w:t>Discrimination in medical triage practices and end-of-life care</w:t>
      </w:r>
    </w:p>
    <w:p w14:paraId="291C4317" w14:textId="47F4D49F" w:rsidR="00766FF5" w:rsidRPr="00A800E0" w:rsidRDefault="006F0E17" w:rsidP="006F0E17">
      <w:pPr>
        <w:pStyle w:val="SingleTxtG"/>
      </w:pPr>
      <w:r w:rsidRPr="00A800E0">
        <w:rPr>
          <w:rFonts w:asciiTheme="majorBidi" w:hAnsiTheme="majorBidi" w:cstheme="majorBidi"/>
        </w:rPr>
        <w:t>123.</w:t>
      </w:r>
      <w:r w:rsidRPr="00A800E0">
        <w:rPr>
          <w:rFonts w:asciiTheme="majorBidi" w:hAnsiTheme="majorBidi" w:cstheme="majorBidi"/>
        </w:rPr>
        <w:tab/>
      </w:r>
      <w:r w:rsidR="00766FF5" w:rsidRPr="00A800E0">
        <w:t>Implicit and explicit bias causes physicians to make decisions about how to allocate scarce medical treatments in a way that disadvantages persons with disabilities. This includes denial of organ transplantation for persons with intellectual disabilities, with chronic weakness or of advanced age, and their deprioritization for ventilator support and critical care during emergencies.</w:t>
      </w:r>
      <w:r w:rsidR="00766FF5" w:rsidRPr="00A800E0">
        <w:rPr>
          <w:vertAlign w:val="superscript"/>
        </w:rPr>
        <w:footnoteReference w:id="60"/>
      </w:r>
      <w:r w:rsidR="00766FF5" w:rsidRPr="00A800E0">
        <w:t xml:space="preserve"> </w:t>
      </w:r>
    </w:p>
    <w:p w14:paraId="3C46A418" w14:textId="7E95D105" w:rsidR="00766FF5" w:rsidRPr="00A800E0" w:rsidRDefault="006F0E17" w:rsidP="006F0E17">
      <w:pPr>
        <w:pStyle w:val="SingleTxtG"/>
      </w:pPr>
      <w:r w:rsidRPr="00A800E0">
        <w:rPr>
          <w:rFonts w:asciiTheme="majorBidi" w:hAnsiTheme="majorBidi" w:cstheme="majorBidi"/>
        </w:rPr>
        <w:t>124.</w:t>
      </w:r>
      <w:r w:rsidRPr="00A800E0">
        <w:rPr>
          <w:rFonts w:asciiTheme="majorBidi" w:hAnsiTheme="majorBidi" w:cstheme="majorBidi"/>
        </w:rPr>
        <w:tab/>
      </w:r>
      <w:r w:rsidR="00766FF5" w:rsidRPr="00A800E0">
        <w:t xml:space="preserve">The distribution of medical resources is often guided by metrics such as Sequential Organ Failure Assessment (SOFA) scores, which deprioritize nonverbal patients, and quality-adjusted life years and disability-adjusted life years, which devalue the lives of persons with disabilities. </w:t>
      </w:r>
    </w:p>
    <w:p w14:paraId="7D120548" w14:textId="3EBD8EED" w:rsidR="00766FF5" w:rsidRPr="00A800E0" w:rsidRDefault="006F0E17" w:rsidP="006F0E17">
      <w:pPr>
        <w:pStyle w:val="SingleTxtG"/>
      </w:pPr>
      <w:r w:rsidRPr="00A800E0">
        <w:rPr>
          <w:rFonts w:asciiTheme="majorBidi" w:hAnsiTheme="majorBidi" w:cstheme="majorBidi"/>
        </w:rPr>
        <w:t>125.</w:t>
      </w:r>
      <w:r w:rsidRPr="00A800E0">
        <w:rPr>
          <w:rFonts w:asciiTheme="majorBidi" w:hAnsiTheme="majorBidi" w:cstheme="majorBidi"/>
        </w:rPr>
        <w:tab/>
      </w:r>
      <w:r w:rsidR="00766FF5" w:rsidRPr="00A800E0">
        <w:t xml:space="preserve">In some cases, medical practitioners have excluded persons with psychosocial disabilities from treatment, such as chemotherapy for cancer, if the persons do not comply with prescribed psychiatric medication, as they deem that those persons will also not comply with the cancer treatment. </w:t>
      </w:r>
    </w:p>
    <w:p w14:paraId="37618FD2" w14:textId="2E1734C2" w:rsidR="00766FF5" w:rsidRPr="00A800E0" w:rsidRDefault="006F0E17" w:rsidP="006F0E17">
      <w:pPr>
        <w:pStyle w:val="SingleTxtG"/>
      </w:pPr>
      <w:r w:rsidRPr="00A800E0">
        <w:rPr>
          <w:rFonts w:asciiTheme="majorBidi" w:hAnsiTheme="majorBidi" w:cstheme="majorBidi"/>
        </w:rPr>
        <w:t>126.</w:t>
      </w:r>
      <w:r w:rsidRPr="00A800E0">
        <w:rPr>
          <w:rFonts w:asciiTheme="majorBidi" w:hAnsiTheme="majorBidi" w:cstheme="majorBidi"/>
        </w:rPr>
        <w:tab/>
      </w:r>
      <w:r w:rsidR="00766FF5" w:rsidRPr="00A800E0">
        <w:t xml:space="preserve">Assisted dying regimes that have expanded to include persons with </w:t>
      </w:r>
      <w:r w:rsidR="00441B88">
        <w:t>“</w:t>
      </w:r>
      <w:r w:rsidR="00766FF5" w:rsidRPr="00A800E0">
        <w:t>mental illness</w:t>
      </w:r>
      <w:r w:rsidR="00441B88">
        <w:t>”</w:t>
      </w:r>
      <w:r w:rsidR="00766FF5" w:rsidRPr="00A800E0">
        <w:t xml:space="preserve"> or where natural death is not reasonably foreseeable reproduce ableist assumptions that disability involves intolerable suffering or a life of lesser value.</w:t>
      </w:r>
      <w:r w:rsidR="00766FF5" w:rsidRPr="00A800E0">
        <w:rPr>
          <w:vertAlign w:val="superscript"/>
        </w:rPr>
        <w:footnoteReference w:id="61"/>
      </w:r>
      <w:r w:rsidR="00766FF5" w:rsidRPr="00A800E0">
        <w:t xml:space="preserve"> Assisted dying laws and practices may result in disability-based violence where disability is treated as a basis for ending life, particularly when persons with disabilities lack access to adequate income, housing, healthcare, personal assistance and community-based support.</w:t>
      </w:r>
    </w:p>
    <w:p w14:paraId="34D73E16" w14:textId="77777777" w:rsidR="00766FF5" w:rsidRPr="00A800E0" w:rsidRDefault="00766FF5" w:rsidP="00766FF5">
      <w:pPr>
        <w:pStyle w:val="H23G"/>
      </w:pPr>
      <w:r w:rsidRPr="00A800E0">
        <w:tab/>
      </w:r>
      <w:r w:rsidRPr="00A800E0">
        <w:tab/>
        <w:t>Diagnostic overshadowing</w:t>
      </w:r>
    </w:p>
    <w:p w14:paraId="4075A0D1" w14:textId="23CE1CCD" w:rsidR="00766FF5" w:rsidRPr="00A800E0" w:rsidRDefault="006F0E17" w:rsidP="006F0E17">
      <w:pPr>
        <w:pStyle w:val="SingleTxtG"/>
      </w:pPr>
      <w:r w:rsidRPr="00A800E0">
        <w:rPr>
          <w:rFonts w:asciiTheme="majorBidi" w:hAnsiTheme="majorBidi" w:cstheme="majorBidi"/>
        </w:rPr>
        <w:t>127.</w:t>
      </w:r>
      <w:r w:rsidRPr="00A800E0">
        <w:rPr>
          <w:rFonts w:asciiTheme="majorBidi" w:hAnsiTheme="majorBidi" w:cstheme="majorBidi"/>
        </w:rPr>
        <w:tab/>
      </w:r>
      <w:r w:rsidR="00766FF5" w:rsidRPr="00A800E0">
        <w:t>Diagnostic overshadowing describes the practice of wrongly attributing a patient</w:t>
      </w:r>
      <w:r w:rsidR="00441B88">
        <w:t>’</w:t>
      </w:r>
      <w:r w:rsidR="00766FF5" w:rsidRPr="00A800E0">
        <w:t xml:space="preserve">s signs and symptoms to an assumed pre-existing disability or condition, rather than to the actual cause of disease. Persons with psychosocial disabilities and persons living with multiple chemical sensitivity reported instances of inappropriate psychiatric referral and institutional violence. </w:t>
      </w:r>
    </w:p>
    <w:p w14:paraId="7BA74F0F" w14:textId="77777777" w:rsidR="00766FF5" w:rsidRPr="00A800E0" w:rsidRDefault="00766FF5" w:rsidP="00766FF5">
      <w:pPr>
        <w:pStyle w:val="H23G"/>
      </w:pPr>
      <w:r w:rsidRPr="00A800E0">
        <w:lastRenderedPageBreak/>
        <w:tab/>
      </w:r>
      <w:r w:rsidRPr="00A800E0">
        <w:tab/>
        <w:t xml:space="preserve">Disregard of health complaints </w:t>
      </w:r>
    </w:p>
    <w:p w14:paraId="5C90EA2F" w14:textId="4CDCD9E3" w:rsidR="00766FF5" w:rsidRPr="00A800E0" w:rsidRDefault="006F0E17" w:rsidP="006F0E17">
      <w:pPr>
        <w:pStyle w:val="SingleTxtG"/>
      </w:pPr>
      <w:r w:rsidRPr="00A800E0">
        <w:rPr>
          <w:rFonts w:asciiTheme="majorBidi" w:hAnsiTheme="majorBidi" w:cstheme="majorBidi"/>
        </w:rPr>
        <w:t>128.</w:t>
      </w:r>
      <w:r w:rsidRPr="00A800E0">
        <w:rPr>
          <w:rFonts w:asciiTheme="majorBidi" w:hAnsiTheme="majorBidi" w:cstheme="majorBidi"/>
        </w:rPr>
        <w:tab/>
      </w:r>
      <w:r w:rsidR="00766FF5" w:rsidRPr="00A800E0">
        <w:rPr>
          <w:color w:val="000000"/>
        </w:rPr>
        <w:t xml:space="preserve">Some complaints are ignored </w:t>
      </w:r>
      <w:r w:rsidR="00766FF5" w:rsidRPr="00A800E0">
        <w:t xml:space="preserve">because they are treated as delusions or as adverse effects of psychiatric medications. Complaints are often disbelieved or ignored owing to the motivation of medical professionals to control distress, personality or behaviour through psychiatric medication. </w:t>
      </w:r>
    </w:p>
    <w:p w14:paraId="3E74F11B" w14:textId="77777777" w:rsidR="00766FF5" w:rsidRPr="00A800E0" w:rsidRDefault="00766FF5" w:rsidP="00766FF5">
      <w:pPr>
        <w:pStyle w:val="H23G"/>
      </w:pPr>
      <w:r w:rsidRPr="00A800E0">
        <w:tab/>
      </w:r>
      <w:r w:rsidRPr="00A800E0">
        <w:tab/>
        <w:t xml:space="preserve">Technology-facilitated violence </w:t>
      </w:r>
    </w:p>
    <w:p w14:paraId="27525F18" w14:textId="5BEA76CF" w:rsidR="00766FF5" w:rsidRPr="00A800E0" w:rsidRDefault="006F0E17" w:rsidP="006F0E17">
      <w:pPr>
        <w:pStyle w:val="SingleTxtG"/>
      </w:pPr>
      <w:r w:rsidRPr="00A800E0">
        <w:rPr>
          <w:rFonts w:asciiTheme="majorBidi" w:hAnsiTheme="majorBidi" w:cstheme="majorBidi"/>
        </w:rPr>
        <w:t>129.</w:t>
      </w:r>
      <w:r w:rsidRPr="00A800E0">
        <w:rPr>
          <w:rFonts w:asciiTheme="majorBidi" w:hAnsiTheme="majorBidi" w:cstheme="majorBidi"/>
        </w:rPr>
        <w:tab/>
      </w:r>
      <w:r w:rsidR="00766FF5" w:rsidRPr="00A800E0">
        <w:t xml:space="preserve">Technology-facilitated violence includes online abuse and is exacerbated by ableism in technology, including artificial intelligence tools. Persons with disabilities are exposed to ableist algorithms, digital gaslighting, abuse of credentials by guardians, banking and payment card fraud, higher rates of consumer fraud, doxing, spyware and surveillance cameras at home. Technologies can be used for digital monitoring, risk profiling and the sharing of personal data without consent, with the purpose of controlling persons with disabilities. The lack of accessibility of webpages and digital platforms for submitting complaints prevents access to redress. </w:t>
      </w:r>
    </w:p>
    <w:p w14:paraId="1E16DDBC" w14:textId="0B2FFB45" w:rsidR="00766FF5" w:rsidRPr="00A800E0" w:rsidRDefault="006F0E17" w:rsidP="006F0E17">
      <w:pPr>
        <w:pStyle w:val="SingleTxtG"/>
      </w:pPr>
      <w:r w:rsidRPr="00A800E0">
        <w:rPr>
          <w:rFonts w:asciiTheme="majorBidi" w:hAnsiTheme="majorBidi" w:cstheme="majorBidi"/>
        </w:rPr>
        <w:t>130.</w:t>
      </w:r>
      <w:r w:rsidRPr="00A800E0">
        <w:rPr>
          <w:rFonts w:asciiTheme="majorBidi" w:hAnsiTheme="majorBidi" w:cstheme="majorBidi"/>
        </w:rPr>
        <w:tab/>
      </w:r>
      <w:r w:rsidR="00766FF5" w:rsidRPr="00A800E0">
        <w:t xml:space="preserve">The insufficiency of mechanisms to protect against sharenting and the exploitation of children with disabilities on social media, including the use of images of the children during difficult moments for monetization in the name of </w:t>
      </w:r>
      <w:r w:rsidR="00441B88">
        <w:t>“</w:t>
      </w:r>
      <w:r w:rsidR="00766FF5" w:rsidRPr="00A800E0">
        <w:t>awareness</w:t>
      </w:r>
      <w:r w:rsidR="00441B88">
        <w:t>”</w:t>
      </w:r>
      <w:r w:rsidR="00766FF5" w:rsidRPr="00A800E0">
        <w:t>, has been reported.</w:t>
      </w:r>
    </w:p>
    <w:p w14:paraId="6E4529BF" w14:textId="11484B5F" w:rsidR="00766FF5" w:rsidRPr="00A800E0" w:rsidRDefault="006F0E17" w:rsidP="006F0E17">
      <w:pPr>
        <w:pStyle w:val="SingleTxtG"/>
      </w:pPr>
      <w:r w:rsidRPr="00A800E0">
        <w:rPr>
          <w:rFonts w:asciiTheme="majorBidi" w:hAnsiTheme="majorBidi" w:cstheme="majorBidi"/>
        </w:rPr>
        <w:t>131.</w:t>
      </w:r>
      <w:r w:rsidRPr="00A800E0">
        <w:rPr>
          <w:rFonts w:asciiTheme="majorBidi" w:hAnsiTheme="majorBidi" w:cstheme="majorBidi"/>
        </w:rPr>
        <w:tab/>
      </w:r>
      <w:r w:rsidR="00766FF5" w:rsidRPr="00A800E0">
        <w:t xml:space="preserve">Cyberharassment targets persons with disabilities online. It includes using deception, such as pretending to be a person with disabilities, to draw in and torment targets. Persons with disabilities are also bullied online, causing emotional distress for them and their family members. Cyberharassment remains unaddressed as it occurs in virtual space, frequently extending beyond the jurisdiction of national enforcement mechanisms. </w:t>
      </w:r>
    </w:p>
    <w:p w14:paraId="6E5F63EB" w14:textId="14F052CE" w:rsidR="00766FF5" w:rsidRPr="00A800E0" w:rsidRDefault="006F0E17" w:rsidP="006F0E17">
      <w:pPr>
        <w:pStyle w:val="SingleTxtG"/>
      </w:pPr>
      <w:r w:rsidRPr="00A800E0">
        <w:rPr>
          <w:rFonts w:asciiTheme="majorBidi" w:hAnsiTheme="majorBidi" w:cstheme="majorBidi"/>
        </w:rPr>
        <w:t>132.</w:t>
      </w:r>
      <w:r w:rsidRPr="00A800E0">
        <w:rPr>
          <w:rFonts w:asciiTheme="majorBidi" w:hAnsiTheme="majorBidi" w:cstheme="majorBidi"/>
        </w:rPr>
        <w:tab/>
      </w:r>
      <w:r w:rsidR="00766FF5" w:rsidRPr="00A800E0">
        <w:t>Technology-facilitated violence includes threats of sexual violence, image-based abuse, coercive control by partners or guardians, monitoring of movements, doxing, outing, and inaccessible reporting systems.</w:t>
      </w:r>
    </w:p>
    <w:p w14:paraId="5C891EFD" w14:textId="77777777" w:rsidR="00766FF5" w:rsidRPr="00A800E0" w:rsidRDefault="00766FF5" w:rsidP="00766FF5">
      <w:pPr>
        <w:pStyle w:val="H23G"/>
      </w:pPr>
      <w:r w:rsidRPr="00A800E0">
        <w:tab/>
      </w:r>
      <w:r w:rsidRPr="00A800E0">
        <w:tab/>
        <w:t xml:space="preserve">Economic violence, trafficking and exploitation </w:t>
      </w:r>
    </w:p>
    <w:p w14:paraId="1376AA0D" w14:textId="62A5745D" w:rsidR="00766FF5" w:rsidRPr="00A800E0" w:rsidRDefault="006F0E17" w:rsidP="006F0E17">
      <w:pPr>
        <w:pStyle w:val="SingleTxtG"/>
      </w:pPr>
      <w:r w:rsidRPr="00A800E0">
        <w:rPr>
          <w:rFonts w:asciiTheme="majorBidi" w:hAnsiTheme="majorBidi" w:cstheme="majorBidi"/>
        </w:rPr>
        <w:t>133.</w:t>
      </w:r>
      <w:r w:rsidRPr="00A800E0">
        <w:rPr>
          <w:rFonts w:asciiTheme="majorBidi" w:hAnsiTheme="majorBidi" w:cstheme="majorBidi"/>
        </w:rPr>
        <w:tab/>
      </w:r>
      <w:r w:rsidR="00766FF5" w:rsidRPr="00A800E0">
        <w:t>Many children with disabilities are affected by economic exploitation, which includes exploitation through forced begging.</w:t>
      </w:r>
      <w:r w:rsidR="00766FF5" w:rsidRPr="00A800E0">
        <w:rPr>
          <w:rStyle w:val="FootnoteReference"/>
        </w:rPr>
        <w:footnoteReference w:id="62"/>
      </w:r>
      <w:r w:rsidR="00766FF5" w:rsidRPr="00A800E0">
        <w:t xml:space="preserve"> Persons with disabilities also face heightened risks of organ trafficking, forced begging,</w:t>
      </w:r>
      <w:r w:rsidR="00766FF5" w:rsidRPr="00A800E0">
        <w:rPr>
          <w:rStyle w:val="FootnoteReference"/>
        </w:rPr>
        <w:footnoteReference w:id="63"/>
      </w:r>
      <w:r w:rsidR="00766FF5" w:rsidRPr="00A800E0">
        <w:t xml:space="preserve"> enslavement, servitude, exploitation as drug couriers,</w:t>
      </w:r>
      <w:r w:rsidR="00766FF5" w:rsidRPr="00A800E0">
        <w:rPr>
          <w:rStyle w:val="FootnoteReference"/>
        </w:rPr>
        <w:footnoteReference w:id="64"/>
      </w:r>
      <w:r w:rsidR="00766FF5" w:rsidRPr="00A800E0">
        <w:t xml:space="preserve"> abduction, and forced labour on farms and in institutions. </w:t>
      </w:r>
    </w:p>
    <w:p w14:paraId="4A667BE7" w14:textId="5BA2C02E" w:rsidR="00766FF5" w:rsidRPr="00A800E0" w:rsidRDefault="006F0E17" w:rsidP="006F0E17">
      <w:pPr>
        <w:pStyle w:val="SingleTxtG"/>
      </w:pPr>
      <w:r w:rsidRPr="00A800E0">
        <w:rPr>
          <w:rFonts w:asciiTheme="majorBidi" w:hAnsiTheme="majorBidi" w:cstheme="majorBidi"/>
        </w:rPr>
        <w:t>134.</w:t>
      </w:r>
      <w:r w:rsidRPr="00A800E0">
        <w:rPr>
          <w:rFonts w:asciiTheme="majorBidi" w:hAnsiTheme="majorBidi" w:cstheme="majorBidi"/>
        </w:rPr>
        <w:tab/>
      </w:r>
      <w:r w:rsidR="00766FF5" w:rsidRPr="00A800E0">
        <w:t>Social stigmatization and objectification of persons with short stature exposes them to public humiliation, unwanted physical contact, non-consensual photography, harassment in public spaces, entertainment-based exploitation and persistent stereotyping that undermines their dignity, autonomy and equal participation in society.</w:t>
      </w:r>
    </w:p>
    <w:p w14:paraId="58AC3C2F" w14:textId="62791EE2" w:rsidR="00766FF5" w:rsidRPr="00A800E0" w:rsidRDefault="006F0E17" w:rsidP="006F0E17">
      <w:pPr>
        <w:pStyle w:val="SingleTxtG"/>
      </w:pPr>
      <w:r w:rsidRPr="00A800E0">
        <w:rPr>
          <w:rFonts w:asciiTheme="majorBidi" w:hAnsiTheme="majorBidi" w:cstheme="majorBidi"/>
        </w:rPr>
        <w:t>135.</w:t>
      </w:r>
      <w:r w:rsidRPr="00A800E0">
        <w:rPr>
          <w:rFonts w:asciiTheme="majorBidi" w:hAnsiTheme="majorBidi" w:cstheme="majorBidi"/>
        </w:rPr>
        <w:tab/>
      </w:r>
      <w:r w:rsidR="00766FF5" w:rsidRPr="00A800E0">
        <w:t xml:space="preserve">Persons with disabilities are denied control over their own financial affairs due to guardianship or other substitute decision-making regimes. They are often deprived of access to, or prevented from managing, their disability pensions and social benefits, including cash transfers. </w:t>
      </w:r>
    </w:p>
    <w:p w14:paraId="628DCD29" w14:textId="006DF13A" w:rsidR="00766FF5" w:rsidRPr="00D87999" w:rsidRDefault="006F0E17" w:rsidP="00D87999">
      <w:pPr>
        <w:pStyle w:val="SingleTxtG"/>
      </w:pPr>
      <w:r w:rsidRPr="00A800E0">
        <w:rPr>
          <w:rFonts w:asciiTheme="majorBidi" w:hAnsiTheme="majorBidi" w:cstheme="majorBidi"/>
        </w:rPr>
        <w:t>136.</w:t>
      </w:r>
      <w:r w:rsidRPr="00A800E0">
        <w:rPr>
          <w:rFonts w:asciiTheme="majorBidi" w:hAnsiTheme="majorBidi" w:cstheme="majorBidi"/>
        </w:rPr>
        <w:tab/>
      </w:r>
      <w:r w:rsidR="00766FF5" w:rsidRPr="00A800E0">
        <w:rPr>
          <w:color w:val="000000"/>
        </w:rPr>
        <w:t>Economic violence manifests through financial dependence and a lack of access to income.</w:t>
      </w:r>
      <w:r w:rsidR="00766FF5" w:rsidRPr="00A800E0">
        <w:t xml:space="preserve"> Persons with disabilities can be mistreated when claiming their pensions or denied benefits, which increases risk of poverty and institutionalization. Persons with disabilities who have been denied disability benefits can be obliged to accept an unwanted treatment relationship with a psychiatrist to certify their eligibility for such a pension.</w:t>
      </w:r>
    </w:p>
    <w:p w14:paraId="750481EC" w14:textId="1B278B1C" w:rsidR="00766FF5" w:rsidRPr="00A800E0" w:rsidRDefault="006F0E17" w:rsidP="006F0E17">
      <w:pPr>
        <w:pStyle w:val="SingleTxtG"/>
      </w:pPr>
      <w:r w:rsidRPr="00A800E0">
        <w:rPr>
          <w:rFonts w:asciiTheme="majorBidi" w:hAnsiTheme="majorBidi" w:cstheme="majorBidi"/>
        </w:rPr>
        <w:t>137.</w:t>
      </w:r>
      <w:r w:rsidRPr="00A800E0">
        <w:rPr>
          <w:rFonts w:asciiTheme="majorBidi" w:hAnsiTheme="majorBidi" w:cstheme="majorBidi"/>
        </w:rPr>
        <w:tab/>
      </w:r>
      <w:r w:rsidR="00766FF5" w:rsidRPr="00A800E0">
        <w:t>In some cases, persons with disabilities are referred to institutions owing to poverty or a lack of access to income. In other cases, they have been forced to pay for involuntary institutionalization. Institutionalization often perpetuates economic deprivation and dependency. Some institutions deny income or access to social benefits to persons with disabilities or retain a large share of a person</w:t>
      </w:r>
      <w:r w:rsidR="00441B88">
        <w:t>’</w:t>
      </w:r>
      <w:r w:rsidR="00766FF5" w:rsidRPr="00A800E0">
        <w:t xml:space="preserve">s monthly disability pension, leaving a </w:t>
      </w:r>
      <w:r w:rsidR="00766FF5" w:rsidRPr="00A800E0">
        <w:lastRenderedPageBreak/>
        <w:t xml:space="preserve">minuscule amount for personal expenses, which deprives persons with disabilities of financial autonomy. </w:t>
      </w:r>
    </w:p>
    <w:p w14:paraId="48F92761" w14:textId="161B86BF" w:rsidR="00766FF5" w:rsidRPr="00A800E0" w:rsidRDefault="006F0E17" w:rsidP="006F0E17">
      <w:pPr>
        <w:pStyle w:val="SingleTxtG"/>
      </w:pPr>
      <w:r w:rsidRPr="00A800E0">
        <w:rPr>
          <w:rFonts w:asciiTheme="majorBidi" w:hAnsiTheme="majorBidi" w:cstheme="majorBidi"/>
        </w:rPr>
        <w:t>138.</w:t>
      </w:r>
      <w:r w:rsidRPr="00A800E0">
        <w:rPr>
          <w:rFonts w:asciiTheme="majorBidi" w:hAnsiTheme="majorBidi" w:cstheme="majorBidi"/>
        </w:rPr>
        <w:tab/>
      </w:r>
      <w:r w:rsidR="00766FF5" w:rsidRPr="00A800E0">
        <w:t>Segregated employment, including in sheltered workshops, isolates persons with disabilities and exposes them to economic exploitation, to discrimination in remuneration, social protection and career advancement, and to informal employment.</w:t>
      </w:r>
      <w:r w:rsidR="00766FF5" w:rsidRPr="00A800E0">
        <w:rPr>
          <w:rFonts w:ascii="Aptos" w:hAnsi="Aptos" w:cs="Aptos"/>
          <w:vertAlign w:val="superscript"/>
        </w:rPr>
        <w:footnoteReference w:id="65"/>
      </w:r>
      <w:r w:rsidR="00766FF5" w:rsidRPr="00A800E0">
        <w:rPr>
          <w:rFonts w:ascii="Aptos" w:hAnsi="Aptos" w:cs="Aptos"/>
        </w:rPr>
        <w:t xml:space="preserve"> </w:t>
      </w:r>
      <w:r w:rsidR="00766FF5" w:rsidRPr="00A800E0">
        <w:t xml:space="preserve">Some legislation allows persons with actual or perceived psychosocial disabilities to be dismissed from employment on the basis of the discriminatory application of the criteria of </w:t>
      </w:r>
      <w:r w:rsidR="00441B88">
        <w:t>“</w:t>
      </w:r>
      <w:r w:rsidR="00766FF5" w:rsidRPr="00A800E0">
        <w:t>danger to self or others</w:t>
      </w:r>
      <w:r w:rsidR="00441B88">
        <w:t>”</w:t>
      </w:r>
      <w:r w:rsidR="00766FF5" w:rsidRPr="00A800E0">
        <w:t>, which perpetuates stereotypes of persons with disabilities.</w:t>
      </w:r>
    </w:p>
    <w:p w14:paraId="19689CC4" w14:textId="77777777" w:rsidR="00766FF5" w:rsidRPr="00A800E0" w:rsidRDefault="00766FF5" w:rsidP="00766FF5">
      <w:pPr>
        <w:pStyle w:val="HChG"/>
      </w:pPr>
      <w:r w:rsidRPr="00A800E0">
        <w:tab/>
        <w:t>IV.</w:t>
      </w:r>
      <w:r w:rsidRPr="00A800E0">
        <w:tab/>
        <w:t xml:space="preserve">Recommendations </w:t>
      </w:r>
    </w:p>
    <w:p w14:paraId="5D52CD97" w14:textId="5AB5BA67" w:rsidR="00766FF5" w:rsidRPr="00A800E0" w:rsidRDefault="006F0E17" w:rsidP="006F0E17">
      <w:pPr>
        <w:pStyle w:val="SingleTxtG"/>
      </w:pPr>
      <w:r w:rsidRPr="00A800E0">
        <w:rPr>
          <w:rFonts w:asciiTheme="majorBidi" w:hAnsiTheme="majorBidi" w:cstheme="majorBidi"/>
        </w:rPr>
        <w:t>139.</w:t>
      </w:r>
      <w:r w:rsidRPr="00A800E0">
        <w:rPr>
          <w:rFonts w:asciiTheme="majorBidi" w:hAnsiTheme="majorBidi" w:cstheme="majorBidi"/>
        </w:rPr>
        <w:tab/>
      </w:r>
      <w:r w:rsidR="00766FF5" w:rsidRPr="00A800E0">
        <w:t xml:space="preserve">Disability-based violence is a violation of the rights of persons with disabilities. However, it is neither unavoidable nor irremediable. It can be recognized, prevented and eliminated. Disability-based violence is never justified as a form of protection, care or support. </w:t>
      </w:r>
    </w:p>
    <w:p w14:paraId="4CA5F125" w14:textId="680674A5" w:rsidR="00766FF5" w:rsidRPr="00A800E0" w:rsidRDefault="006F0E17" w:rsidP="006F0E17">
      <w:pPr>
        <w:pStyle w:val="SingleTxtG"/>
        <w:rPr>
          <w:b/>
          <w:bCs/>
        </w:rPr>
      </w:pPr>
      <w:r w:rsidRPr="00A800E0">
        <w:rPr>
          <w:rFonts w:asciiTheme="majorBidi" w:hAnsiTheme="majorBidi" w:cstheme="majorBidi"/>
        </w:rPr>
        <w:t>140.</w:t>
      </w:r>
      <w:r w:rsidRPr="00A800E0">
        <w:rPr>
          <w:rFonts w:asciiTheme="majorBidi" w:hAnsiTheme="majorBidi" w:cstheme="majorBidi"/>
        </w:rPr>
        <w:tab/>
      </w:r>
      <w:r w:rsidR="00766FF5" w:rsidRPr="00A800E0">
        <w:rPr>
          <w:b/>
          <w:bCs/>
        </w:rPr>
        <w:t xml:space="preserve">All recommendations herein should be implemented in close consultation with and with the active involvement of persons with disabilities through their representative organizations, including organizations of survivors of violence. </w:t>
      </w:r>
    </w:p>
    <w:p w14:paraId="152109BC" w14:textId="77777777" w:rsidR="00766FF5" w:rsidRPr="00A800E0" w:rsidRDefault="00766FF5" w:rsidP="00766FF5">
      <w:pPr>
        <w:pStyle w:val="H23G"/>
      </w:pPr>
      <w:r w:rsidRPr="00A800E0">
        <w:tab/>
        <w:t>1.</w:t>
      </w:r>
      <w:r w:rsidRPr="00A800E0">
        <w:tab/>
        <w:t>Ending disability-based violence</w:t>
      </w:r>
    </w:p>
    <w:p w14:paraId="2F7F3D5A" w14:textId="462A8393" w:rsidR="00766FF5" w:rsidRPr="00A800E0" w:rsidRDefault="006F0E17" w:rsidP="006F0E17">
      <w:pPr>
        <w:pStyle w:val="SingleTxtG"/>
        <w:rPr>
          <w:b/>
          <w:bCs/>
        </w:rPr>
      </w:pPr>
      <w:r w:rsidRPr="00A800E0">
        <w:rPr>
          <w:rFonts w:asciiTheme="majorBidi" w:hAnsiTheme="majorBidi" w:cstheme="majorBidi"/>
        </w:rPr>
        <w:t>141.</w:t>
      </w:r>
      <w:r w:rsidRPr="00A800E0">
        <w:rPr>
          <w:rFonts w:asciiTheme="majorBidi" w:hAnsiTheme="majorBidi" w:cstheme="majorBidi"/>
        </w:rPr>
        <w:tab/>
      </w:r>
      <w:r w:rsidR="00766FF5" w:rsidRPr="00A800E0">
        <w:rPr>
          <w:b/>
          <w:bCs/>
        </w:rPr>
        <w:t xml:space="preserve">States Parties should: </w:t>
      </w:r>
    </w:p>
    <w:p w14:paraId="3F61672F" w14:textId="455114BD" w:rsidR="00766FF5" w:rsidRPr="00A800E0" w:rsidRDefault="00E9730D" w:rsidP="00E9730D">
      <w:pPr>
        <w:pStyle w:val="SingleTxtG"/>
        <w:rPr>
          <w:rFonts w:eastAsia="Times New Roman"/>
          <w:b/>
          <w:bCs/>
          <w:lang w:eastAsia="ru-RU"/>
        </w:rPr>
      </w:pPr>
      <w:r w:rsidRPr="00A800E0">
        <w:rPr>
          <w:lang w:eastAsia="ru-RU"/>
        </w:rPr>
        <w:tab/>
      </w:r>
      <w:r w:rsidR="006F0E17" w:rsidRPr="00A800E0">
        <w:rPr>
          <w:lang w:eastAsia="ru-RU"/>
        </w:rPr>
        <w:t>(a)</w:t>
      </w:r>
      <w:r w:rsidR="006F0E17" w:rsidRPr="00A800E0">
        <w:rPr>
          <w:lang w:eastAsia="ru-RU"/>
        </w:rPr>
        <w:tab/>
      </w:r>
      <w:r w:rsidR="00766FF5" w:rsidRPr="00A800E0">
        <w:rPr>
          <w:rFonts w:eastAsia="Times New Roman"/>
          <w:b/>
          <w:bCs/>
          <w:lang w:eastAsia="ru-RU"/>
        </w:rPr>
        <w:t>End all forms of disability-based violence, including those amounting to torture or ill-treatment, and discrimination and take measures to eradicate harmful social practices and stereotypes that perpetuate disability-based violence. Heightened attention is required in relation to violence in the digital space and violence facilitated by artificial intelligence and other new technologies;</w:t>
      </w:r>
    </w:p>
    <w:p w14:paraId="16C0467A" w14:textId="529561BD" w:rsidR="00766FF5" w:rsidRPr="00A800E0" w:rsidRDefault="00E9730D" w:rsidP="00E9730D">
      <w:pPr>
        <w:pStyle w:val="SingleTxtG"/>
        <w:rPr>
          <w:rFonts w:eastAsia="Times New Roman"/>
          <w:b/>
          <w:bCs/>
          <w:lang w:eastAsia="ru-RU"/>
        </w:rPr>
      </w:pPr>
      <w:r w:rsidRPr="00A800E0">
        <w:rPr>
          <w:lang w:eastAsia="ru-RU"/>
        </w:rPr>
        <w:tab/>
      </w:r>
      <w:r w:rsidR="006F0E17" w:rsidRPr="00A800E0">
        <w:rPr>
          <w:lang w:eastAsia="ru-RU"/>
        </w:rPr>
        <w:t>(b)</w:t>
      </w:r>
      <w:r w:rsidR="006F0E17" w:rsidRPr="00A800E0">
        <w:rPr>
          <w:lang w:eastAsia="ru-RU"/>
        </w:rPr>
        <w:tab/>
      </w:r>
      <w:r w:rsidR="00766FF5" w:rsidRPr="00A800E0">
        <w:rPr>
          <w:rFonts w:eastAsia="Times New Roman"/>
          <w:b/>
          <w:bCs/>
          <w:lang w:eastAsia="ru-RU"/>
        </w:rPr>
        <w:t>Redress the harm suffered by victims and survivors of disability-based violence and ensure accountability for perpetrators;</w:t>
      </w:r>
    </w:p>
    <w:p w14:paraId="695C65F9" w14:textId="47D369A6" w:rsidR="00766FF5" w:rsidRPr="00A800E0" w:rsidRDefault="00E9730D" w:rsidP="00E9730D">
      <w:pPr>
        <w:pStyle w:val="SingleTxtG"/>
        <w:rPr>
          <w:b/>
          <w:bCs/>
        </w:rPr>
      </w:pPr>
      <w:r w:rsidRPr="00A800E0">
        <w:tab/>
      </w:r>
      <w:r w:rsidR="006F0E17" w:rsidRPr="00A800E0">
        <w:t>(c)</w:t>
      </w:r>
      <w:r w:rsidR="006F0E17" w:rsidRPr="00A800E0">
        <w:rPr>
          <w:b/>
          <w:bCs/>
        </w:rPr>
        <w:tab/>
      </w:r>
      <w:r w:rsidR="00766FF5" w:rsidRPr="00A800E0">
        <w:rPr>
          <w:rFonts w:eastAsia="Times New Roman"/>
          <w:b/>
          <w:bCs/>
          <w:lang w:eastAsia="ru-RU"/>
        </w:rPr>
        <w:t>Address</w:t>
      </w:r>
      <w:r w:rsidR="00766FF5" w:rsidRPr="00A800E0">
        <w:rPr>
          <w:b/>
          <w:bCs/>
        </w:rPr>
        <w:t xml:space="preserve"> the root causes of disability-based violence in legislation, policies and practices, including by:</w:t>
      </w:r>
    </w:p>
    <w:p w14:paraId="18C0EF61" w14:textId="77777777" w:rsidR="00766FF5" w:rsidRPr="00A800E0" w:rsidRDefault="00766FF5" w:rsidP="00E9730D">
      <w:pPr>
        <w:pStyle w:val="SingleTxtG"/>
        <w:ind w:left="1701"/>
        <w:rPr>
          <w:b/>
          <w:bCs/>
        </w:rPr>
      </w:pPr>
      <w:r w:rsidRPr="00A800E0">
        <w:t>(i)</w:t>
      </w:r>
      <w:r w:rsidRPr="00A800E0">
        <w:tab/>
      </w:r>
      <w:r w:rsidRPr="00A800E0">
        <w:rPr>
          <w:b/>
          <w:bCs/>
        </w:rPr>
        <w:t xml:space="preserve">Periodically reviewing and revising their legislative, administrative, and policy frameworks to identify and eliminate structural barriers that perpetuate disability-based violence, including laws and practices based on substitute decision-making; </w:t>
      </w:r>
    </w:p>
    <w:p w14:paraId="3CAC219F" w14:textId="77777777" w:rsidR="00766FF5" w:rsidRPr="00A800E0" w:rsidRDefault="00766FF5" w:rsidP="00E9730D">
      <w:pPr>
        <w:pStyle w:val="SingleTxtG"/>
        <w:ind w:left="1701"/>
        <w:rPr>
          <w:b/>
          <w:bCs/>
        </w:rPr>
      </w:pPr>
      <w:r w:rsidRPr="00A800E0">
        <w:t>(ii)</w:t>
      </w:r>
      <w:r w:rsidRPr="00A800E0">
        <w:tab/>
      </w:r>
      <w:r w:rsidRPr="00A800E0">
        <w:rPr>
          <w:b/>
          <w:bCs/>
        </w:rPr>
        <w:t>Establishing supported decision-making systems based on the autonomy, will and preference of persons with disabilities;</w:t>
      </w:r>
    </w:p>
    <w:p w14:paraId="3292B23F" w14:textId="1D8330AD" w:rsidR="00766FF5" w:rsidRPr="00A800E0" w:rsidRDefault="00766FF5" w:rsidP="00E9730D">
      <w:pPr>
        <w:pStyle w:val="SingleTxtG"/>
        <w:ind w:left="1701"/>
        <w:rPr>
          <w:b/>
          <w:bCs/>
        </w:rPr>
      </w:pPr>
      <w:r w:rsidRPr="00A800E0">
        <w:t>(iii)</w:t>
      </w:r>
      <w:r w:rsidRPr="00A800E0">
        <w:rPr>
          <w:b/>
          <w:bCs/>
        </w:rPr>
        <w:tab/>
        <w:t xml:space="preserve">Repealing legislation allowing for coercive measures, including institutionalization, involuntary committal and forced treatment, based on a mental incapacity determination and/or </w:t>
      </w:r>
      <w:r w:rsidR="00441B88">
        <w:rPr>
          <w:b/>
          <w:bCs/>
        </w:rPr>
        <w:t>“</w:t>
      </w:r>
      <w:r w:rsidRPr="00A800E0">
        <w:rPr>
          <w:b/>
          <w:bCs/>
        </w:rPr>
        <w:t>danger to the person concerned or to others</w:t>
      </w:r>
      <w:r w:rsidR="00441B88">
        <w:rPr>
          <w:b/>
          <w:bCs/>
        </w:rPr>
        <w:t>”</w:t>
      </w:r>
      <w:r w:rsidRPr="00A800E0">
        <w:rPr>
          <w:b/>
          <w:bCs/>
        </w:rPr>
        <w:t xml:space="preserve">, </w:t>
      </w:r>
      <w:r w:rsidR="00441B88">
        <w:rPr>
          <w:b/>
          <w:bCs/>
        </w:rPr>
        <w:t>“</w:t>
      </w:r>
      <w:r w:rsidRPr="00A800E0">
        <w:rPr>
          <w:b/>
          <w:bCs/>
        </w:rPr>
        <w:t>need for care and treatment</w:t>
      </w:r>
      <w:r w:rsidR="00441B88">
        <w:rPr>
          <w:b/>
          <w:bCs/>
        </w:rPr>
        <w:t>”</w:t>
      </w:r>
      <w:r w:rsidRPr="00A800E0">
        <w:rPr>
          <w:b/>
          <w:bCs/>
        </w:rPr>
        <w:t xml:space="preserve"> or </w:t>
      </w:r>
      <w:r w:rsidR="00441B88">
        <w:rPr>
          <w:b/>
          <w:bCs/>
        </w:rPr>
        <w:t>“</w:t>
      </w:r>
      <w:r w:rsidRPr="00A800E0">
        <w:rPr>
          <w:b/>
          <w:bCs/>
        </w:rPr>
        <w:t>medical emergency</w:t>
      </w:r>
      <w:r w:rsidR="00441B88">
        <w:rPr>
          <w:b/>
          <w:bCs/>
        </w:rPr>
        <w:t>”</w:t>
      </w:r>
      <w:r w:rsidRPr="00A800E0">
        <w:rPr>
          <w:b/>
          <w:bCs/>
        </w:rPr>
        <w:t xml:space="preserve"> criteria, or as a purportedly </w:t>
      </w:r>
      <w:r w:rsidR="00441B88">
        <w:rPr>
          <w:b/>
          <w:bCs/>
        </w:rPr>
        <w:t>“</w:t>
      </w:r>
      <w:r w:rsidRPr="00A800E0">
        <w:rPr>
          <w:b/>
          <w:bCs/>
        </w:rPr>
        <w:t>least restrictive alternative</w:t>
      </w:r>
      <w:r w:rsidR="00441B88">
        <w:rPr>
          <w:b/>
          <w:bCs/>
        </w:rPr>
        <w:t>”</w:t>
      </w:r>
      <w:r w:rsidRPr="00A800E0">
        <w:rPr>
          <w:b/>
          <w:bCs/>
        </w:rPr>
        <w:t>, and prohibiting the use of non</w:t>
      </w:r>
      <w:r w:rsidR="00441B88">
        <w:rPr>
          <w:b/>
          <w:bCs/>
        </w:rPr>
        <w:noBreakHyphen/>
      </w:r>
      <w:r w:rsidRPr="00A800E0">
        <w:rPr>
          <w:b/>
          <w:bCs/>
        </w:rPr>
        <w:t xml:space="preserve">consensual or forced treatments; </w:t>
      </w:r>
    </w:p>
    <w:p w14:paraId="40CCDA6D" w14:textId="77777777" w:rsidR="00766FF5" w:rsidRPr="00A800E0" w:rsidRDefault="00766FF5" w:rsidP="00E9730D">
      <w:pPr>
        <w:pStyle w:val="SingleTxtG"/>
        <w:ind w:left="1701"/>
        <w:rPr>
          <w:b/>
          <w:bCs/>
        </w:rPr>
      </w:pPr>
      <w:r w:rsidRPr="00A800E0">
        <w:t>(iv)</w:t>
      </w:r>
      <w:r w:rsidRPr="00A800E0">
        <w:rPr>
          <w:b/>
          <w:bCs/>
          <w:color w:val="000000"/>
        </w:rPr>
        <w:tab/>
        <w:t>Ensuring that responses to situations of crisis or heightened distress exclude the resort to coercive measures;</w:t>
      </w:r>
    </w:p>
    <w:p w14:paraId="0DE462A4" w14:textId="35F188A6" w:rsidR="00766FF5" w:rsidRPr="00A800E0" w:rsidRDefault="006961BC" w:rsidP="006961BC">
      <w:pPr>
        <w:pStyle w:val="SingleTxtG"/>
        <w:rPr>
          <w:b/>
          <w:bCs/>
        </w:rPr>
      </w:pPr>
      <w:r w:rsidRPr="00A800E0">
        <w:tab/>
      </w:r>
      <w:r w:rsidR="006F0E17" w:rsidRPr="00A800E0">
        <w:t>(d)</w:t>
      </w:r>
      <w:r w:rsidR="006F0E17" w:rsidRPr="00A800E0">
        <w:tab/>
      </w:r>
      <w:r w:rsidR="00766FF5" w:rsidRPr="00A800E0">
        <w:rPr>
          <w:b/>
          <w:bCs/>
        </w:rPr>
        <w:t xml:space="preserve">Develop support for persons with disabilities compatible with the Convention and based on the will, preferences and choice of persons with disabilities. States Parties should ensure decent work for support workers and support for family members with care roles, and build the capacity of family supporters, support workers and community-based support service providers to deliver support in line with the Convention. </w:t>
      </w:r>
    </w:p>
    <w:p w14:paraId="0DA8D54B" w14:textId="77777777" w:rsidR="00766FF5" w:rsidRPr="00A800E0" w:rsidRDefault="00766FF5" w:rsidP="00766FF5">
      <w:pPr>
        <w:pStyle w:val="H23G"/>
      </w:pPr>
      <w:r w:rsidRPr="00A800E0">
        <w:lastRenderedPageBreak/>
        <w:tab/>
        <w:t>2.</w:t>
      </w:r>
      <w:r w:rsidRPr="00A800E0">
        <w:tab/>
      </w:r>
      <w:r w:rsidRPr="00A800E0">
        <w:tab/>
        <w:t>Combating and eliminating heightened and intersectional forms of disability-based violence</w:t>
      </w:r>
    </w:p>
    <w:p w14:paraId="210B5C10" w14:textId="0D6464D4" w:rsidR="00766FF5" w:rsidRPr="00A800E0" w:rsidRDefault="006F0E17" w:rsidP="006F0E17">
      <w:pPr>
        <w:pStyle w:val="SingleTxtG"/>
      </w:pPr>
      <w:r w:rsidRPr="00A800E0">
        <w:rPr>
          <w:rFonts w:asciiTheme="majorBidi" w:hAnsiTheme="majorBidi" w:cstheme="majorBidi"/>
        </w:rPr>
        <w:t>142.</w:t>
      </w:r>
      <w:r w:rsidRPr="00A800E0">
        <w:rPr>
          <w:rFonts w:asciiTheme="majorBidi" w:hAnsiTheme="majorBidi" w:cstheme="majorBidi"/>
        </w:rPr>
        <w:tab/>
      </w:r>
      <w:r w:rsidR="00766FF5" w:rsidRPr="00A800E0">
        <w:t>Gender-based violence and disability-based violence aggravate the risks of violence against women and girls with disabilities and gender-diverse and non-binary persons with disabilities, including those who are lesbian, gay, bisexual, transgender, intersex and queer. Intersectional forms of disability-based violence are yet to be recognized and addressed in policies for the prevention of violence, including those aimed at eliminating gender-based violence.</w:t>
      </w:r>
    </w:p>
    <w:p w14:paraId="4BD7A608" w14:textId="04CDB4C1" w:rsidR="00766FF5" w:rsidRPr="00A800E0" w:rsidRDefault="006F0E17" w:rsidP="006F0E17">
      <w:pPr>
        <w:pStyle w:val="SingleTxtG"/>
        <w:rPr>
          <w:b/>
          <w:bCs/>
        </w:rPr>
      </w:pPr>
      <w:r w:rsidRPr="00A800E0">
        <w:rPr>
          <w:rFonts w:asciiTheme="majorBidi" w:hAnsiTheme="majorBidi" w:cstheme="majorBidi"/>
        </w:rPr>
        <w:t>143.</w:t>
      </w:r>
      <w:r w:rsidRPr="00A800E0">
        <w:rPr>
          <w:rFonts w:asciiTheme="majorBidi" w:hAnsiTheme="majorBidi" w:cstheme="majorBidi"/>
        </w:rPr>
        <w:tab/>
      </w:r>
      <w:r w:rsidR="00766FF5" w:rsidRPr="00A800E0">
        <w:rPr>
          <w:b/>
          <w:bCs/>
        </w:rPr>
        <w:t xml:space="preserve">The Committee recommends that States Parties: </w:t>
      </w:r>
    </w:p>
    <w:p w14:paraId="2B09610A" w14:textId="10492959" w:rsidR="00766FF5" w:rsidRPr="00A800E0" w:rsidRDefault="00C351D8" w:rsidP="00C351D8">
      <w:pPr>
        <w:pStyle w:val="SingleTxtG"/>
        <w:rPr>
          <w:b/>
          <w:bCs/>
        </w:rPr>
      </w:pPr>
      <w:r w:rsidRPr="00A800E0">
        <w:tab/>
      </w:r>
      <w:r w:rsidR="00766FF5" w:rsidRPr="00A800E0">
        <w:t>(a)</w:t>
      </w:r>
      <w:r w:rsidR="00766FF5" w:rsidRPr="00A800E0">
        <w:rPr>
          <w:b/>
          <w:bCs/>
        </w:rPr>
        <w:tab/>
        <w:t xml:space="preserve">Adopt strategies to prevent and address disability-based violence on intersectional grounds; </w:t>
      </w:r>
    </w:p>
    <w:p w14:paraId="21DC9833" w14:textId="0B23E863" w:rsidR="00766FF5" w:rsidRPr="00A800E0" w:rsidRDefault="00C351D8" w:rsidP="00C351D8">
      <w:pPr>
        <w:pStyle w:val="SingleTxtG"/>
        <w:rPr>
          <w:rFonts w:eastAsia="Times New Roman"/>
          <w:b/>
          <w:bCs/>
        </w:rPr>
      </w:pPr>
      <w:r w:rsidRPr="00A800E0">
        <w:tab/>
      </w:r>
      <w:r w:rsidR="00766FF5" w:rsidRPr="00A800E0">
        <w:t>(b)</w:t>
      </w:r>
      <w:r w:rsidR="00766FF5" w:rsidRPr="00A800E0">
        <w:rPr>
          <w:b/>
          <w:bCs/>
        </w:rPr>
        <w:tab/>
        <w:t>Ensure that legislation, policy and programmes for combating gender</w:t>
      </w:r>
      <w:r w:rsidR="00441B88">
        <w:rPr>
          <w:b/>
          <w:bCs/>
        </w:rPr>
        <w:noBreakHyphen/>
      </w:r>
      <w:r w:rsidR="00766FF5" w:rsidRPr="00A800E0">
        <w:rPr>
          <w:b/>
          <w:bCs/>
        </w:rPr>
        <w:t>based violence and discrimination recognize disability-based violence experienced by women and girls with disabilities and gender-diverse persons with disabilities, including violations of their sexual and reproductive health and rights</w:t>
      </w:r>
      <w:r w:rsidR="00766FF5" w:rsidRPr="00A800E0">
        <w:rPr>
          <w:b/>
          <w:bCs/>
          <w:color w:val="000000"/>
        </w:rPr>
        <w:t>;</w:t>
      </w:r>
    </w:p>
    <w:p w14:paraId="26C78EA8" w14:textId="36F4D29E" w:rsidR="00766FF5" w:rsidRPr="00A800E0" w:rsidRDefault="00C351D8" w:rsidP="00C351D8">
      <w:pPr>
        <w:pStyle w:val="SingleTxtG"/>
        <w:rPr>
          <w:b/>
          <w:bCs/>
        </w:rPr>
      </w:pPr>
      <w:r w:rsidRPr="00A800E0">
        <w:tab/>
      </w:r>
      <w:r w:rsidR="00766FF5" w:rsidRPr="00A800E0">
        <w:t>(c)</w:t>
      </w:r>
      <w:r w:rsidR="00766FF5" w:rsidRPr="00A800E0">
        <w:rPr>
          <w:b/>
          <w:bCs/>
        </w:rPr>
        <w:tab/>
        <w:t>Adopt measures to enable women and girls with disabilities to make autonomous decisions about their sexual and reproductive health, and ensure that women have access to evidence-based and unbiased information. Women with disabilities should be protected against abortion, contraception or sterilization imposed against their will or without their informed consent. In addition, women should not be stigmatized for voluntarily undergoing abortion;</w:t>
      </w:r>
    </w:p>
    <w:p w14:paraId="50B88A5D" w14:textId="6940D834" w:rsidR="00766FF5" w:rsidRPr="00A800E0" w:rsidRDefault="00C351D8" w:rsidP="00C351D8">
      <w:pPr>
        <w:pStyle w:val="SingleTxtG"/>
        <w:rPr>
          <w:b/>
          <w:bCs/>
        </w:rPr>
      </w:pPr>
      <w:r w:rsidRPr="00A800E0">
        <w:tab/>
      </w:r>
      <w:r w:rsidR="00766FF5" w:rsidRPr="00A800E0">
        <w:t>(d)</w:t>
      </w:r>
      <w:r w:rsidR="00766FF5" w:rsidRPr="00A800E0">
        <w:rPr>
          <w:b/>
          <w:bCs/>
        </w:rPr>
        <w:tab/>
        <w:t>Exercise due diligence to prevent, protect against and investigate all forms of gender-based violence and disability-based violence against women and girls with disabilities, whether perpetrated by State actors, family members, intimate partners, caregivers, service providers, health professionals, private institutions or in the digital space, and ensure accountability and effective remedies, including effective reparation;</w:t>
      </w:r>
    </w:p>
    <w:p w14:paraId="52A0E8A0" w14:textId="2E3C4016" w:rsidR="00766FF5" w:rsidRPr="00A800E0" w:rsidRDefault="00C351D8" w:rsidP="00C351D8">
      <w:pPr>
        <w:pStyle w:val="SingleTxtG"/>
        <w:rPr>
          <w:b/>
          <w:bCs/>
        </w:rPr>
      </w:pPr>
      <w:r w:rsidRPr="00A800E0">
        <w:tab/>
      </w:r>
      <w:r w:rsidR="00766FF5" w:rsidRPr="00A800E0">
        <w:t>(e)</w:t>
      </w:r>
      <w:r w:rsidR="00766FF5" w:rsidRPr="00A800E0">
        <w:rPr>
          <w:b/>
          <w:bCs/>
        </w:rPr>
        <w:tab/>
        <w:t>Provide comprehensive, accessible and non-discriminatory sexuality education for girls and young women with disabilities, both within and outside school, and provide parents and relatives with guidance on understanding the importance of sexuality education and respecting their children</w:t>
      </w:r>
      <w:r w:rsidR="00441B88">
        <w:rPr>
          <w:b/>
          <w:bCs/>
        </w:rPr>
        <w:t>’</w:t>
      </w:r>
      <w:r w:rsidR="00766FF5" w:rsidRPr="00A800E0">
        <w:rPr>
          <w:b/>
          <w:bCs/>
        </w:rPr>
        <w:t xml:space="preserve">s right to express their views freely; </w:t>
      </w:r>
    </w:p>
    <w:p w14:paraId="02092FF9" w14:textId="314A569A" w:rsidR="00766FF5" w:rsidRPr="00A800E0" w:rsidRDefault="00C351D8" w:rsidP="00C351D8">
      <w:pPr>
        <w:pStyle w:val="SingleTxtG"/>
        <w:rPr>
          <w:rFonts w:eastAsia="Arial"/>
          <w:b/>
          <w:bCs/>
        </w:rPr>
      </w:pPr>
      <w:r w:rsidRPr="00A800E0">
        <w:tab/>
      </w:r>
      <w:r w:rsidR="00766FF5" w:rsidRPr="00A800E0">
        <w:t>(f)</w:t>
      </w:r>
      <w:r w:rsidR="00766FF5" w:rsidRPr="00A800E0">
        <w:rPr>
          <w:b/>
          <w:bCs/>
        </w:rPr>
        <w:tab/>
      </w:r>
      <w:r w:rsidR="00766FF5" w:rsidRPr="00A800E0">
        <w:rPr>
          <w:rFonts w:eastAsia="Arial"/>
          <w:b/>
          <w:bCs/>
        </w:rPr>
        <w:t xml:space="preserve">Pay special attention to forms of disability-based violence against children with disabilities, including intentional killing and infanticide, and ensure accountability for perpetrators. </w:t>
      </w:r>
    </w:p>
    <w:p w14:paraId="358221E0" w14:textId="77777777" w:rsidR="00766FF5" w:rsidRPr="00A800E0" w:rsidRDefault="00766FF5" w:rsidP="00766FF5">
      <w:pPr>
        <w:pStyle w:val="H23G"/>
      </w:pPr>
      <w:r w:rsidRPr="00A800E0">
        <w:tab/>
        <w:t>3.</w:t>
      </w:r>
      <w:r w:rsidRPr="00A800E0">
        <w:tab/>
      </w:r>
      <w:r w:rsidRPr="00A800E0">
        <w:tab/>
        <w:t xml:space="preserve">Reinforcing independent monitoring and preventive mechanisms </w:t>
      </w:r>
    </w:p>
    <w:p w14:paraId="5C5A4D9E" w14:textId="04106A61" w:rsidR="00766FF5" w:rsidRPr="00A800E0" w:rsidRDefault="006F0E17" w:rsidP="006F0E17">
      <w:pPr>
        <w:pStyle w:val="SingleTxtG"/>
      </w:pPr>
      <w:r w:rsidRPr="00A800E0">
        <w:rPr>
          <w:rFonts w:asciiTheme="majorBidi" w:hAnsiTheme="majorBidi" w:cstheme="majorBidi"/>
        </w:rPr>
        <w:t>144.</w:t>
      </w:r>
      <w:r w:rsidRPr="00A800E0">
        <w:rPr>
          <w:rFonts w:asciiTheme="majorBidi" w:hAnsiTheme="majorBidi" w:cstheme="majorBidi"/>
        </w:rPr>
        <w:tab/>
      </w:r>
      <w:r w:rsidR="00766FF5" w:rsidRPr="00A800E0">
        <w:t xml:space="preserve">Disability-based violence persists in the absence of, or owing to limited intervention by, independent monitoring and preventative mechanisms overseeing facilities and programmes for persons with disabilities. </w:t>
      </w:r>
    </w:p>
    <w:p w14:paraId="0F607C92" w14:textId="3BAA01B6" w:rsidR="00766FF5" w:rsidRPr="00A800E0" w:rsidRDefault="006F0E17" w:rsidP="006F0E17">
      <w:pPr>
        <w:pStyle w:val="SingleTxtG"/>
        <w:rPr>
          <w:b/>
          <w:bCs/>
        </w:rPr>
      </w:pPr>
      <w:r w:rsidRPr="00A800E0">
        <w:rPr>
          <w:rFonts w:asciiTheme="majorBidi" w:hAnsiTheme="majorBidi" w:cstheme="majorBidi"/>
        </w:rPr>
        <w:t>145.</w:t>
      </w:r>
      <w:r w:rsidRPr="00A800E0">
        <w:rPr>
          <w:rFonts w:asciiTheme="majorBidi" w:hAnsiTheme="majorBidi" w:cstheme="majorBidi"/>
        </w:rPr>
        <w:tab/>
      </w:r>
      <w:r w:rsidR="00766FF5" w:rsidRPr="00A800E0">
        <w:rPr>
          <w:b/>
          <w:bCs/>
        </w:rPr>
        <w:t>The Committee recommends that States Parties:</w:t>
      </w:r>
    </w:p>
    <w:p w14:paraId="03979C2C" w14:textId="311ECDB2" w:rsidR="00766FF5" w:rsidRPr="00A800E0" w:rsidRDefault="0083422E" w:rsidP="0083422E">
      <w:pPr>
        <w:pStyle w:val="SingleTxtG"/>
        <w:rPr>
          <w:b/>
          <w:bCs/>
        </w:rPr>
      </w:pPr>
      <w:r w:rsidRPr="00A800E0">
        <w:tab/>
      </w:r>
      <w:r w:rsidR="00766FF5" w:rsidRPr="00A800E0">
        <w:t>(a)</w:t>
      </w:r>
      <w:r w:rsidR="00766FF5" w:rsidRPr="00A800E0">
        <w:rPr>
          <w:b/>
          <w:bCs/>
        </w:rPr>
        <w:tab/>
        <w:t>Ensure the establishment of independent monitoring for all facilities and programmes, in line with articles 16 (3) and 33 (2) and (3) of the Convention and applicable general comments and guidelines adopted by the Committee;</w:t>
      </w:r>
    </w:p>
    <w:p w14:paraId="6A4F0120" w14:textId="05C5E582" w:rsidR="00766FF5" w:rsidRPr="00A800E0" w:rsidRDefault="0083422E" w:rsidP="0083422E">
      <w:pPr>
        <w:pStyle w:val="SingleTxtG"/>
        <w:rPr>
          <w:b/>
          <w:bCs/>
        </w:rPr>
      </w:pPr>
      <w:r w:rsidRPr="00A800E0">
        <w:tab/>
      </w:r>
      <w:r w:rsidR="00766FF5" w:rsidRPr="00A800E0">
        <w:t>(b)</w:t>
      </w:r>
      <w:r w:rsidR="00766FF5" w:rsidRPr="00A800E0">
        <w:tab/>
      </w:r>
      <w:r w:rsidR="00766FF5" w:rsidRPr="00A800E0">
        <w:rPr>
          <w:b/>
          <w:bCs/>
        </w:rPr>
        <w:t>Ensure that national preventive mechanisms apply the Convention in examining disability-based detention, institutionalization, forced treatment, restraint, seclusion, denial of reasonable accommodation and other disability-specific forms of torture or ill-treatment. National preventive mechanisms should engage directly and confidentially with persons with disabilities, include relevant disability and survivor expertise within visiting teams, cooperate with representative organizations of persons with disabilities and address laws and policies that authorize the practices observed;</w:t>
      </w:r>
    </w:p>
    <w:p w14:paraId="73EB0ADA" w14:textId="1402566A" w:rsidR="00766FF5" w:rsidRPr="00A800E0" w:rsidRDefault="0083422E" w:rsidP="0083422E">
      <w:pPr>
        <w:pStyle w:val="SingleTxtG"/>
        <w:rPr>
          <w:b/>
          <w:bCs/>
        </w:rPr>
      </w:pPr>
      <w:r w:rsidRPr="00A800E0">
        <w:tab/>
      </w:r>
      <w:r w:rsidR="00766FF5" w:rsidRPr="00A800E0">
        <w:t>(c)</w:t>
      </w:r>
      <w:r w:rsidR="00766FF5" w:rsidRPr="00A800E0">
        <w:tab/>
      </w:r>
      <w:r w:rsidR="00766FF5" w:rsidRPr="00A800E0">
        <w:rPr>
          <w:b/>
          <w:bCs/>
        </w:rPr>
        <w:t xml:space="preserve">Ensure that independent monitoring mechanisms, including national human rights institutions, other independent monitoring mechanisms and persons with disabilities and their civil society organizations, including survivors of </w:t>
      </w:r>
      <w:r w:rsidR="00766FF5" w:rsidRPr="00A800E0">
        <w:rPr>
          <w:b/>
          <w:bCs/>
        </w:rPr>
        <w:lastRenderedPageBreak/>
        <w:t>institutionalization, are allowed to conduct independent monitoring of all institutions where persons with disabilities still live and to monitor deinstitutionalization processes;</w:t>
      </w:r>
    </w:p>
    <w:p w14:paraId="1B0C526C" w14:textId="2F814E9F" w:rsidR="00766FF5" w:rsidRPr="00A800E0" w:rsidRDefault="0083422E" w:rsidP="0083422E">
      <w:pPr>
        <w:pStyle w:val="SingleTxtG"/>
        <w:rPr>
          <w:b/>
          <w:bCs/>
        </w:rPr>
      </w:pPr>
      <w:r w:rsidRPr="00A800E0">
        <w:tab/>
      </w:r>
      <w:r w:rsidR="00766FF5" w:rsidRPr="00A800E0">
        <w:t>(d)</w:t>
      </w:r>
      <w:r w:rsidR="00766FF5" w:rsidRPr="00A800E0">
        <w:rPr>
          <w:b/>
          <w:bCs/>
        </w:rPr>
        <w:tab/>
        <w:t>Ensure that the findings of monitoring mechanisms, complaints and other credible indications of violence trigger immediate protective measures, preservation of evidence, independent investigation and, where appropriate, civil, administrative, disciplinary or criminal proceedings.</w:t>
      </w:r>
    </w:p>
    <w:p w14:paraId="42C2AB36" w14:textId="77777777" w:rsidR="00766FF5" w:rsidRPr="00A800E0" w:rsidRDefault="00766FF5" w:rsidP="00766FF5">
      <w:pPr>
        <w:pStyle w:val="H23G"/>
      </w:pPr>
      <w:r w:rsidRPr="00A800E0">
        <w:tab/>
        <w:t>4.</w:t>
      </w:r>
      <w:r w:rsidRPr="00A800E0">
        <w:tab/>
        <w:t xml:space="preserve">Strengthening mechanisms for the protection of and support for survivors of disability-based violence </w:t>
      </w:r>
    </w:p>
    <w:p w14:paraId="412F1660" w14:textId="220BD9AA" w:rsidR="00766FF5" w:rsidRPr="00A800E0" w:rsidRDefault="006F0E17" w:rsidP="006F0E17">
      <w:pPr>
        <w:pStyle w:val="SingleTxtG"/>
        <w:rPr>
          <w:rFonts w:eastAsia="Aptos"/>
        </w:rPr>
      </w:pPr>
      <w:r w:rsidRPr="00A800E0">
        <w:rPr>
          <w:rFonts w:asciiTheme="majorBidi" w:eastAsia="Aptos" w:hAnsiTheme="majorBidi" w:cstheme="majorBidi"/>
        </w:rPr>
        <w:t>146.</w:t>
      </w:r>
      <w:r w:rsidRPr="00A800E0">
        <w:rPr>
          <w:rFonts w:asciiTheme="majorBidi" w:eastAsia="Aptos" w:hAnsiTheme="majorBidi" w:cstheme="majorBidi"/>
        </w:rPr>
        <w:tab/>
      </w:r>
      <w:r w:rsidR="00766FF5" w:rsidRPr="00A800E0">
        <w:rPr>
          <w:rFonts w:eastAsia="Aptos"/>
        </w:rPr>
        <w:t xml:space="preserve">The Committee observes with concern </w:t>
      </w:r>
      <w:r w:rsidR="00766FF5" w:rsidRPr="00A800E0">
        <w:t>the lack of appropriate support, including recovery, rehabilitation and social reintegration, available to persons with disabilities who have been exposed to disability-based violence; the unresolved trauma produced by this violence; and the</w:t>
      </w:r>
      <w:r w:rsidR="00766FF5" w:rsidRPr="00A800E0">
        <w:rPr>
          <w:rFonts w:eastAsia="Aptos"/>
        </w:rPr>
        <w:t xml:space="preserve"> limited access to information about protection against revictimization. </w:t>
      </w:r>
    </w:p>
    <w:p w14:paraId="467A3FF5" w14:textId="452B1D32" w:rsidR="00766FF5" w:rsidRPr="00A800E0" w:rsidRDefault="006F0E17" w:rsidP="006F0E17">
      <w:pPr>
        <w:pStyle w:val="SingleTxtG"/>
        <w:rPr>
          <w:b/>
          <w:bCs/>
        </w:rPr>
      </w:pPr>
      <w:r w:rsidRPr="00A800E0">
        <w:rPr>
          <w:rFonts w:asciiTheme="majorBidi" w:hAnsiTheme="majorBidi" w:cstheme="majorBidi"/>
        </w:rPr>
        <w:t>147.</w:t>
      </w:r>
      <w:r w:rsidRPr="00A800E0">
        <w:rPr>
          <w:rFonts w:asciiTheme="majorBidi" w:hAnsiTheme="majorBidi" w:cstheme="majorBidi"/>
        </w:rPr>
        <w:tab/>
      </w:r>
      <w:r w:rsidR="00766FF5" w:rsidRPr="00A800E0">
        <w:rPr>
          <w:b/>
          <w:bCs/>
        </w:rPr>
        <w:t>States Parties should:</w:t>
      </w:r>
    </w:p>
    <w:p w14:paraId="5AF48719" w14:textId="3545D708" w:rsidR="00766FF5" w:rsidRPr="00A800E0" w:rsidRDefault="00A3582B" w:rsidP="00A3582B">
      <w:pPr>
        <w:pStyle w:val="SingleTxtG"/>
        <w:rPr>
          <w:b/>
          <w:bCs/>
        </w:rPr>
      </w:pPr>
      <w:r w:rsidRPr="00A800E0">
        <w:tab/>
      </w:r>
      <w:r w:rsidR="00766FF5" w:rsidRPr="00A800E0">
        <w:t>(a)</w:t>
      </w:r>
      <w:r w:rsidR="00766FF5" w:rsidRPr="00A800E0">
        <w:tab/>
      </w:r>
      <w:r w:rsidR="00766FF5" w:rsidRPr="00A800E0">
        <w:rPr>
          <w:b/>
          <w:bCs/>
        </w:rPr>
        <w:t>Ensure the provision of gender- and age-responsive, disability-inclusive, survivor-centred, culturally appropriate and trauma-informed support to survivors of disability-based violence. Such support and information should be provided in accessible formats, including to persons still living in institutions, taking into account the situation of persons with disabilities exposed to intersecting forms of discrimination. For persons in institutions, information and support should be available through confidential and independent channels outside the control of institutions or service providers;</w:t>
      </w:r>
    </w:p>
    <w:p w14:paraId="71EFB5E7" w14:textId="6D519E45" w:rsidR="00766FF5" w:rsidRPr="00A800E0" w:rsidRDefault="00A3582B" w:rsidP="00A3582B">
      <w:pPr>
        <w:pStyle w:val="SingleTxtG"/>
        <w:rPr>
          <w:b/>
          <w:bCs/>
        </w:rPr>
      </w:pPr>
      <w:r w:rsidRPr="00A800E0">
        <w:tab/>
      </w:r>
      <w:r w:rsidR="00766FF5" w:rsidRPr="00A800E0">
        <w:t>(b)</w:t>
      </w:r>
      <w:r w:rsidR="00766FF5" w:rsidRPr="00A800E0">
        <w:rPr>
          <w:rFonts w:eastAsia="Arial"/>
          <w:b/>
          <w:bCs/>
        </w:rPr>
        <w:tab/>
        <w:t>Ensure the availability of appropriate support throughout all stages of the process of addressing instances of violence, from the detection of violence to the person</w:t>
      </w:r>
      <w:r w:rsidR="00441B88">
        <w:rPr>
          <w:rFonts w:eastAsia="Arial"/>
          <w:b/>
          <w:bCs/>
        </w:rPr>
        <w:t>’</w:t>
      </w:r>
      <w:r w:rsidR="00766FF5" w:rsidRPr="00A800E0">
        <w:rPr>
          <w:rFonts w:eastAsia="Arial"/>
          <w:b/>
          <w:bCs/>
        </w:rPr>
        <w:t>s recovery. Support should enable persons with disabilities to access and understand relevant information, express their will and preferences, participate actively in decision-making processes, and avoid revictimization. Support measures must be provided in full respect of the person</w:t>
      </w:r>
      <w:r w:rsidR="00441B88">
        <w:rPr>
          <w:rFonts w:eastAsia="Arial"/>
          <w:b/>
          <w:bCs/>
        </w:rPr>
        <w:t>’</w:t>
      </w:r>
      <w:r w:rsidR="00766FF5" w:rsidRPr="00A800E0">
        <w:rPr>
          <w:rFonts w:eastAsia="Arial"/>
          <w:b/>
          <w:bCs/>
        </w:rPr>
        <w:t>s autonomy and must not amount to substituted decision-making.</w:t>
      </w:r>
    </w:p>
    <w:p w14:paraId="1422475F" w14:textId="77777777" w:rsidR="00766FF5" w:rsidRPr="00A800E0" w:rsidRDefault="00766FF5" w:rsidP="00766FF5">
      <w:pPr>
        <w:pStyle w:val="H23G"/>
      </w:pPr>
      <w:r w:rsidRPr="00A800E0">
        <w:tab/>
        <w:t>5.</w:t>
      </w:r>
      <w:r w:rsidRPr="00A800E0">
        <w:tab/>
        <w:t>Ensuring accountability and access to justice, including effective remedies</w:t>
      </w:r>
    </w:p>
    <w:p w14:paraId="0218C315" w14:textId="64C54405" w:rsidR="00766FF5" w:rsidRPr="00A800E0" w:rsidRDefault="006F0E17" w:rsidP="006F0E17">
      <w:pPr>
        <w:pStyle w:val="SingleTxtG"/>
      </w:pPr>
      <w:r w:rsidRPr="00A800E0">
        <w:rPr>
          <w:rFonts w:asciiTheme="majorBidi" w:hAnsiTheme="majorBidi" w:cstheme="majorBidi"/>
        </w:rPr>
        <w:t>148.</w:t>
      </w:r>
      <w:r w:rsidRPr="00A800E0">
        <w:rPr>
          <w:rFonts w:asciiTheme="majorBidi" w:hAnsiTheme="majorBidi" w:cstheme="majorBidi"/>
        </w:rPr>
        <w:tab/>
      </w:r>
      <w:r w:rsidR="00766FF5" w:rsidRPr="00A800E0">
        <w:t>The overall lack of access to justice, redress and reparation for survivors of disability</w:t>
      </w:r>
      <w:r w:rsidR="00441B88">
        <w:noBreakHyphen/>
      </w:r>
      <w:r w:rsidR="00766FF5" w:rsidRPr="00A800E0">
        <w:t xml:space="preserve">based violence results from: </w:t>
      </w:r>
    </w:p>
    <w:p w14:paraId="0B00BF9E" w14:textId="07E3C945" w:rsidR="00766FF5" w:rsidRPr="00A800E0" w:rsidRDefault="001508F0" w:rsidP="001508F0">
      <w:pPr>
        <w:pStyle w:val="SingleTxtG"/>
      </w:pPr>
      <w:r w:rsidRPr="00A800E0">
        <w:tab/>
      </w:r>
      <w:r w:rsidR="00766FF5" w:rsidRPr="00A800E0">
        <w:t>(a)</w:t>
      </w:r>
      <w:r w:rsidR="00766FF5" w:rsidRPr="00A800E0">
        <w:tab/>
        <w:t xml:space="preserve">The denial of or restrictions on legal capacity, which prevents persons with disabilities from filing complaints and being recognized as victims or witnesses in cases of disability-based violence; </w:t>
      </w:r>
    </w:p>
    <w:p w14:paraId="36C3D2B7" w14:textId="48AD00DB" w:rsidR="00766FF5" w:rsidRPr="00A800E0" w:rsidRDefault="001508F0" w:rsidP="001508F0">
      <w:pPr>
        <w:pStyle w:val="SingleTxtG"/>
      </w:pPr>
      <w:r w:rsidRPr="00A800E0">
        <w:tab/>
      </w:r>
      <w:r w:rsidR="00766FF5" w:rsidRPr="00A800E0">
        <w:t>(b)</w:t>
      </w:r>
      <w:r w:rsidR="00766FF5" w:rsidRPr="00A800E0">
        <w:tab/>
        <w:t>Challenges in reporting cases due to disability- and gender-based discrimination, disbelief of the testimonies of persons with disabilities, isolation, in institutions or at home, the absence of reporting channels, especially in institutions and schools, and the lack of procedural and age-appropriate accommodation;</w:t>
      </w:r>
    </w:p>
    <w:p w14:paraId="11777770" w14:textId="3006B284" w:rsidR="00766FF5" w:rsidRPr="00A800E0" w:rsidRDefault="001508F0" w:rsidP="001508F0">
      <w:pPr>
        <w:pStyle w:val="SingleTxtG"/>
      </w:pPr>
      <w:r w:rsidRPr="00A800E0">
        <w:tab/>
      </w:r>
      <w:r w:rsidR="00766FF5" w:rsidRPr="00A800E0">
        <w:t>(c)</w:t>
      </w:r>
      <w:r w:rsidR="00766FF5" w:rsidRPr="00A800E0">
        <w:tab/>
        <w:t xml:space="preserve">The lack of support to enable survivors of disability-based violence to access justice, and the additional distress experienced when their cases are accepted and processed; </w:t>
      </w:r>
    </w:p>
    <w:p w14:paraId="2F2DBA63" w14:textId="0EB1EA94" w:rsidR="00766FF5" w:rsidRPr="00A800E0" w:rsidRDefault="001508F0" w:rsidP="001508F0">
      <w:pPr>
        <w:pStyle w:val="SingleTxtG"/>
        <w:rPr>
          <w:rFonts w:eastAsia="Arial"/>
        </w:rPr>
      </w:pPr>
      <w:r w:rsidRPr="00A800E0">
        <w:tab/>
      </w:r>
      <w:r w:rsidR="00766FF5" w:rsidRPr="00A800E0">
        <w:t>(d)</w:t>
      </w:r>
      <w:r w:rsidR="00766FF5" w:rsidRPr="00A800E0">
        <w:tab/>
        <w:t>The fear of retaliation and reprisals, linked to d</w:t>
      </w:r>
      <w:r w:rsidR="00766FF5" w:rsidRPr="00A800E0">
        <w:rPr>
          <w:rFonts w:eastAsia="Arial"/>
        </w:rPr>
        <w:t xml:space="preserve">ependency relationships, institutionalization and substitute decision-making regimes, </w:t>
      </w:r>
      <w:r w:rsidR="00766FF5" w:rsidRPr="00A800E0">
        <w:t>among persons with disabilities</w:t>
      </w:r>
      <w:r w:rsidR="00766FF5" w:rsidRPr="00A800E0">
        <w:rPr>
          <w:rFonts w:eastAsia="Arial"/>
        </w:rPr>
        <w:t>.</w:t>
      </w:r>
    </w:p>
    <w:p w14:paraId="0854325F" w14:textId="41744E15" w:rsidR="00766FF5" w:rsidRPr="00A800E0" w:rsidRDefault="006F0E17" w:rsidP="006F0E17">
      <w:pPr>
        <w:pStyle w:val="SingleTxtG"/>
        <w:rPr>
          <w:b/>
          <w:bCs/>
        </w:rPr>
      </w:pPr>
      <w:r w:rsidRPr="00A800E0">
        <w:rPr>
          <w:rFonts w:asciiTheme="majorBidi" w:hAnsiTheme="majorBidi" w:cstheme="majorBidi"/>
        </w:rPr>
        <w:t>149.</w:t>
      </w:r>
      <w:r w:rsidRPr="00A800E0">
        <w:rPr>
          <w:rFonts w:asciiTheme="majorBidi" w:hAnsiTheme="majorBidi" w:cstheme="majorBidi"/>
        </w:rPr>
        <w:tab/>
      </w:r>
      <w:r w:rsidR="00766FF5" w:rsidRPr="00A800E0">
        <w:rPr>
          <w:b/>
          <w:bCs/>
        </w:rPr>
        <w:t>States Parties should:</w:t>
      </w:r>
    </w:p>
    <w:p w14:paraId="211D2827" w14:textId="4C3981DB" w:rsidR="00766FF5" w:rsidRPr="00A800E0" w:rsidRDefault="00A85915" w:rsidP="00A85915">
      <w:pPr>
        <w:pStyle w:val="SingleTxtG"/>
        <w:rPr>
          <w:b/>
          <w:bCs/>
        </w:rPr>
      </w:pPr>
      <w:r w:rsidRPr="00A800E0">
        <w:tab/>
      </w:r>
      <w:r w:rsidR="00766FF5" w:rsidRPr="00A800E0">
        <w:t>(a)</w:t>
      </w:r>
      <w:r w:rsidR="00766FF5" w:rsidRPr="00A800E0">
        <w:tab/>
      </w:r>
      <w:r w:rsidR="00766FF5" w:rsidRPr="00A800E0">
        <w:rPr>
          <w:b/>
          <w:bCs/>
        </w:rPr>
        <w:t xml:space="preserve">Ensure that persons with disabilities have access to justice on an equal basis with others, including effective remedies that encompass effective reparation, consisting of restitution, compensation, habilitation and rehabilitation, satisfaction and guarantees of non-repetition, for the violations of their rights; </w:t>
      </w:r>
    </w:p>
    <w:p w14:paraId="769A1823" w14:textId="55378A32" w:rsidR="00766FF5" w:rsidRPr="00A800E0" w:rsidRDefault="00A85915" w:rsidP="00A85915">
      <w:pPr>
        <w:pStyle w:val="SingleTxtG"/>
        <w:rPr>
          <w:b/>
          <w:bCs/>
        </w:rPr>
      </w:pPr>
      <w:r w:rsidRPr="00A800E0">
        <w:tab/>
      </w:r>
      <w:r w:rsidR="00766FF5" w:rsidRPr="00A800E0">
        <w:t>(b)</w:t>
      </w:r>
      <w:r w:rsidR="00766FF5" w:rsidRPr="00A800E0">
        <w:tab/>
      </w:r>
      <w:r w:rsidR="00766FF5" w:rsidRPr="00A800E0">
        <w:rPr>
          <w:b/>
          <w:bCs/>
        </w:rPr>
        <w:t xml:space="preserve">Ensure that accountability for disability-based violence in care, support, health, residential and other services takes into account not only the circumstances of the individual perpetrator but also considers institutional and systemic factors that enabled, facilitated or concealed the violence; </w:t>
      </w:r>
    </w:p>
    <w:p w14:paraId="109CEADB" w14:textId="4EBD7F9F" w:rsidR="00766FF5" w:rsidRPr="00A800E0" w:rsidRDefault="00A85915" w:rsidP="00A85915">
      <w:pPr>
        <w:pStyle w:val="SingleTxtG"/>
        <w:rPr>
          <w:b/>
          <w:bCs/>
        </w:rPr>
      </w:pPr>
      <w:r w:rsidRPr="00A800E0">
        <w:rPr>
          <w:b/>
          <w:bCs/>
        </w:rPr>
        <w:lastRenderedPageBreak/>
        <w:tab/>
      </w:r>
      <w:r w:rsidR="00766FF5" w:rsidRPr="00A800E0">
        <w:t>(c)</w:t>
      </w:r>
      <w:r w:rsidR="00766FF5" w:rsidRPr="00A800E0">
        <w:tab/>
      </w:r>
      <w:r w:rsidR="00766FF5" w:rsidRPr="00A800E0">
        <w:rPr>
          <w:b/>
          <w:bCs/>
        </w:rPr>
        <w:t xml:space="preserve">Ensure the immediate release of persons detained in mental health institutions and an end to non-consensual interventions, and ensure emergency assistance for leaving places of arbitrary detention; </w:t>
      </w:r>
    </w:p>
    <w:p w14:paraId="6EEA9C03" w14:textId="7740F9E2" w:rsidR="00766FF5" w:rsidRPr="00A800E0" w:rsidRDefault="00A85915" w:rsidP="00A85915">
      <w:pPr>
        <w:pStyle w:val="SingleTxtG"/>
        <w:rPr>
          <w:b/>
          <w:bCs/>
        </w:rPr>
      </w:pPr>
      <w:r w:rsidRPr="00A800E0">
        <w:tab/>
      </w:r>
      <w:r w:rsidR="00766FF5" w:rsidRPr="00A800E0">
        <w:t>(d)</w:t>
      </w:r>
      <w:r w:rsidR="00766FF5" w:rsidRPr="00A800E0">
        <w:rPr>
          <w:b/>
          <w:bCs/>
        </w:rPr>
        <w:tab/>
        <w:t>Ensure that legal and justice responses are survivor-centred, trauma</w:t>
      </w:r>
      <w:r w:rsidR="00441B88">
        <w:rPr>
          <w:b/>
          <w:bCs/>
        </w:rPr>
        <w:noBreakHyphen/>
      </w:r>
      <w:r w:rsidR="00766FF5" w:rsidRPr="00A800E0">
        <w:rPr>
          <w:b/>
          <w:bCs/>
        </w:rPr>
        <w:t>informed, gender-and age-responsive and disability-inclusive and address intersecting forms of discrimination that heighten risks of violence;</w:t>
      </w:r>
    </w:p>
    <w:p w14:paraId="397011BB" w14:textId="660C1A75" w:rsidR="00766FF5" w:rsidRPr="00A800E0" w:rsidRDefault="00A85915" w:rsidP="00A85915">
      <w:pPr>
        <w:pStyle w:val="SingleTxtG"/>
        <w:rPr>
          <w:b/>
          <w:bCs/>
        </w:rPr>
      </w:pPr>
      <w:r w:rsidRPr="00A800E0">
        <w:tab/>
      </w:r>
      <w:r w:rsidR="00766FF5" w:rsidRPr="00A800E0">
        <w:t>(e)</w:t>
      </w:r>
      <w:r w:rsidR="00766FF5" w:rsidRPr="00A800E0">
        <w:rPr>
          <w:b/>
          <w:bCs/>
        </w:rPr>
        <w:tab/>
        <w:t xml:space="preserve">Provide </w:t>
      </w:r>
      <w:r w:rsidR="00766FF5" w:rsidRPr="00A800E0">
        <w:rPr>
          <w:rFonts w:eastAsia="Arial"/>
          <w:b/>
          <w:bCs/>
        </w:rPr>
        <w:t>accessible information and means of communication to all persons with disabilities seeking redress</w:t>
      </w:r>
      <w:r w:rsidR="00766FF5" w:rsidRPr="00A800E0">
        <w:rPr>
          <w:b/>
          <w:bCs/>
        </w:rPr>
        <w:t xml:space="preserve"> and ensure that communication differences associated with impairment are not treated as grounds for questioning the credibility, competence or reliability of a person reporting violence. Law enforcement authorities, prosecutors, courts and other justice actors should provide individualized communication support and appropriate procedural accommodations and should establish procedures for receiving, documenting and assessing evidence in ways that accommodate different forms of communication; </w:t>
      </w:r>
    </w:p>
    <w:p w14:paraId="1B65097A" w14:textId="795FE4D3" w:rsidR="00766FF5" w:rsidRPr="00A800E0" w:rsidRDefault="00A85915" w:rsidP="00A85915">
      <w:pPr>
        <w:pStyle w:val="SingleTxtG"/>
        <w:rPr>
          <w:b/>
          <w:bCs/>
          <w:color w:val="000000"/>
        </w:rPr>
      </w:pPr>
      <w:r w:rsidRPr="00A800E0">
        <w:tab/>
      </w:r>
      <w:r w:rsidR="00766FF5" w:rsidRPr="00A800E0">
        <w:t>(f)</w:t>
      </w:r>
      <w:r w:rsidR="00766FF5" w:rsidRPr="00A800E0">
        <w:rPr>
          <w:b/>
          <w:bCs/>
          <w:color w:val="000000"/>
        </w:rPr>
        <w:tab/>
        <w:t>Recognize and redress harm against survivors of institutionalization, forced treatment and any form of coercion in mental health services, including in cases where the infliction of such violence is still permitted in legislation, policies and practices;</w:t>
      </w:r>
    </w:p>
    <w:p w14:paraId="0E295F4C" w14:textId="6EDA6930" w:rsidR="00766FF5" w:rsidRPr="00A800E0" w:rsidRDefault="00A85915" w:rsidP="00A85915">
      <w:pPr>
        <w:pStyle w:val="SingleTxtG"/>
        <w:rPr>
          <w:b/>
          <w:bCs/>
        </w:rPr>
      </w:pPr>
      <w:r w:rsidRPr="00A800E0">
        <w:tab/>
      </w:r>
      <w:r w:rsidR="00766FF5" w:rsidRPr="00A800E0">
        <w:t>(g)</w:t>
      </w:r>
      <w:r w:rsidR="00766FF5" w:rsidRPr="00A800E0">
        <w:rPr>
          <w:b/>
          <w:bCs/>
        </w:rPr>
        <w:tab/>
        <w:t>Eliminate gender-based and disability-based discrimination impeding access to justice and ensure:</w:t>
      </w:r>
    </w:p>
    <w:p w14:paraId="64398F25" w14:textId="16FB49C0" w:rsidR="00766FF5" w:rsidRPr="00A800E0" w:rsidRDefault="00766FF5" w:rsidP="00A85915">
      <w:pPr>
        <w:pStyle w:val="SingleTxtG"/>
        <w:ind w:left="1701"/>
        <w:rPr>
          <w:b/>
          <w:bCs/>
        </w:rPr>
      </w:pPr>
      <w:r w:rsidRPr="00A800E0">
        <w:t>(i)</w:t>
      </w:r>
      <w:r w:rsidRPr="00A800E0">
        <w:tab/>
      </w:r>
      <w:r w:rsidRPr="00A800E0">
        <w:rPr>
          <w:b/>
          <w:bCs/>
        </w:rPr>
        <w:t>Procedural accommodations, accessible communication, protection from retaliation, trauma-informed interviewing, privacy and confidentiality safeguards, and the recognition of women and girls with disabilities as credible complainants, witnesses and rights holders, irrespective of guardianship status or perceived impairment;</w:t>
      </w:r>
    </w:p>
    <w:p w14:paraId="0F35628D" w14:textId="77777777" w:rsidR="00766FF5" w:rsidRPr="00A800E0" w:rsidRDefault="00766FF5" w:rsidP="00A85915">
      <w:pPr>
        <w:pStyle w:val="SingleTxtG"/>
        <w:ind w:left="1701"/>
        <w:rPr>
          <w:b/>
          <w:bCs/>
        </w:rPr>
      </w:pPr>
      <w:r w:rsidRPr="00A800E0">
        <w:t>(ii)</w:t>
      </w:r>
      <w:r w:rsidRPr="00A800E0">
        <w:tab/>
      </w:r>
      <w:r w:rsidRPr="00A800E0">
        <w:rPr>
          <w:b/>
          <w:bCs/>
        </w:rPr>
        <w:t xml:space="preserve">That stereotypes about women with disabilities, including with regard to their sexuality, credibility, motherhood and capacity, are explicitly addressed in police, prosecutorial and judicial training; </w:t>
      </w:r>
    </w:p>
    <w:p w14:paraId="0E12621D" w14:textId="77777777" w:rsidR="00766FF5" w:rsidRPr="00A800E0" w:rsidRDefault="00766FF5" w:rsidP="00A85915">
      <w:pPr>
        <w:pStyle w:val="SingleTxtG"/>
        <w:ind w:left="1701"/>
        <w:rPr>
          <w:b/>
          <w:bCs/>
        </w:rPr>
      </w:pPr>
      <w:r w:rsidRPr="00A800E0">
        <w:t>(iii)</w:t>
      </w:r>
      <w:r w:rsidRPr="00A800E0">
        <w:tab/>
      </w:r>
      <w:r w:rsidRPr="00A800E0">
        <w:rPr>
          <w:b/>
          <w:bCs/>
        </w:rPr>
        <w:t>That cases of gender-based violence and disability-based violence are not mandatorily referred to mediation or conciliation, given the risk of coercion, revictimization and unequal power relations;</w:t>
      </w:r>
    </w:p>
    <w:p w14:paraId="724AB06C" w14:textId="625E66D8" w:rsidR="00766FF5" w:rsidRPr="00A800E0" w:rsidRDefault="00A85915" w:rsidP="00A85915">
      <w:pPr>
        <w:pStyle w:val="SingleTxtG"/>
        <w:rPr>
          <w:b/>
          <w:bCs/>
        </w:rPr>
      </w:pPr>
      <w:r w:rsidRPr="00A800E0">
        <w:tab/>
      </w:r>
      <w:r w:rsidR="00766FF5" w:rsidRPr="00A800E0">
        <w:t>(h)</w:t>
      </w:r>
      <w:r w:rsidR="00766FF5" w:rsidRPr="00A800E0">
        <w:rPr>
          <w:b/>
          <w:bCs/>
        </w:rPr>
        <w:tab/>
        <w:t>Train law enforcement personnel on the dignity and rights of persons with disabilities, the credibility of the accounts and testimonies of victims of disability-based violence, and appropriate case management for reports and complaints;</w:t>
      </w:r>
      <w:r w:rsidR="00DE4F13" w:rsidRPr="00A800E0">
        <w:rPr>
          <w:b/>
          <w:bCs/>
        </w:rPr>
        <w:t xml:space="preserve"> </w:t>
      </w:r>
    </w:p>
    <w:p w14:paraId="365F20C9" w14:textId="5F4893A4" w:rsidR="00766FF5" w:rsidRPr="00A800E0" w:rsidRDefault="00A85915" w:rsidP="00A85915">
      <w:pPr>
        <w:pStyle w:val="SingleTxtG"/>
        <w:rPr>
          <w:b/>
          <w:bCs/>
        </w:rPr>
      </w:pPr>
      <w:r w:rsidRPr="00A800E0">
        <w:tab/>
      </w:r>
      <w:r w:rsidR="00766FF5" w:rsidRPr="00A800E0">
        <w:t>(i)</w:t>
      </w:r>
      <w:r w:rsidR="00766FF5" w:rsidRPr="00A800E0">
        <w:rPr>
          <w:b/>
          <w:bCs/>
        </w:rPr>
        <w:tab/>
        <w:t>Establish and enforce guarantees of non-repetition, including through the repeal of legislation and policies, and the elimination of practices, that perpetuate disability-based violence, through workforce vetting processes, and through the development of support services in the community in line with the Committee</w:t>
      </w:r>
      <w:r w:rsidR="00441B88">
        <w:rPr>
          <w:b/>
          <w:bCs/>
        </w:rPr>
        <w:t>’</w:t>
      </w:r>
      <w:r w:rsidR="00766FF5" w:rsidRPr="00A800E0">
        <w:rPr>
          <w:b/>
          <w:bCs/>
        </w:rPr>
        <w:t xml:space="preserve">s guidelines on deinstitutionalization, including in emergencies; </w:t>
      </w:r>
    </w:p>
    <w:p w14:paraId="7A799B1A" w14:textId="0F5FC026" w:rsidR="00766FF5" w:rsidRPr="00A800E0" w:rsidRDefault="00A85915" w:rsidP="00A85915">
      <w:pPr>
        <w:pStyle w:val="SingleTxtG"/>
        <w:rPr>
          <w:rFonts w:eastAsia="Arial"/>
          <w:b/>
          <w:bCs/>
        </w:rPr>
      </w:pPr>
      <w:r w:rsidRPr="00A800E0">
        <w:tab/>
      </w:r>
      <w:r w:rsidR="00766FF5" w:rsidRPr="00A800E0">
        <w:t>(j)</w:t>
      </w:r>
      <w:r w:rsidR="00766FF5" w:rsidRPr="00A800E0">
        <w:rPr>
          <w:rFonts w:eastAsia="Arial"/>
          <w:b/>
          <w:bCs/>
        </w:rPr>
        <w:tab/>
        <w:t>Establish effective safeguards against any form of retaliation or adverse consequences, ensuring that survivors can exercise their right to effective judicial protection without fear of further harm.</w:t>
      </w:r>
    </w:p>
    <w:p w14:paraId="26403DB7" w14:textId="77777777" w:rsidR="00766FF5" w:rsidRPr="00A800E0" w:rsidRDefault="00766FF5" w:rsidP="00766FF5">
      <w:pPr>
        <w:pStyle w:val="HChG"/>
      </w:pPr>
      <w:r w:rsidRPr="00A800E0">
        <w:tab/>
        <w:t>V.</w:t>
      </w:r>
      <w:r w:rsidRPr="00A800E0">
        <w:tab/>
        <w:t>Follow-up</w:t>
      </w:r>
    </w:p>
    <w:p w14:paraId="098C6655" w14:textId="6F55964F" w:rsidR="00766FF5" w:rsidRPr="00A800E0" w:rsidRDefault="006F0E17" w:rsidP="006F0E17">
      <w:pPr>
        <w:pStyle w:val="SingleTxtG"/>
        <w:rPr>
          <w:b/>
          <w:bCs/>
        </w:rPr>
      </w:pPr>
      <w:r w:rsidRPr="00A800E0">
        <w:rPr>
          <w:rFonts w:asciiTheme="majorBidi" w:hAnsiTheme="majorBidi" w:cstheme="majorBidi"/>
        </w:rPr>
        <w:t>150.</w:t>
      </w:r>
      <w:r w:rsidRPr="00A800E0">
        <w:rPr>
          <w:rFonts w:asciiTheme="majorBidi" w:hAnsiTheme="majorBidi" w:cstheme="majorBidi"/>
        </w:rPr>
        <w:tab/>
      </w:r>
      <w:r w:rsidR="00766FF5" w:rsidRPr="00A800E0">
        <w:rPr>
          <w:b/>
          <w:bCs/>
        </w:rPr>
        <w:t>The Committee invites States Parties to include information on the implementation of these guidelines in their reports to the Committee, and recommends that:</w:t>
      </w:r>
    </w:p>
    <w:p w14:paraId="6A3E7DFA" w14:textId="5296E0FF" w:rsidR="00766FF5" w:rsidRPr="00A800E0" w:rsidRDefault="00A75A48" w:rsidP="00A75A48">
      <w:pPr>
        <w:pStyle w:val="SingleTxtG"/>
        <w:rPr>
          <w:b/>
          <w:bCs/>
        </w:rPr>
      </w:pPr>
      <w:r w:rsidRPr="00A800E0">
        <w:tab/>
      </w:r>
      <w:r w:rsidR="00766FF5" w:rsidRPr="00A800E0">
        <w:t>(a)</w:t>
      </w:r>
      <w:r w:rsidR="00766FF5" w:rsidRPr="00A800E0">
        <w:tab/>
      </w:r>
      <w:r w:rsidR="00766FF5" w:rsidRPr="00A800E0">
        <w:rPr>
          <w:b/>
          <w:bCs/>
        </w:rPr>
        <w:t>States Parties widely disseminate the present guidelines;</w:t>
      </w:r>
    </w:p>
    <w:p w14:paraId="7A73DB60" w14:textId="01427DBE" w:rsidR="00766FF5" w:rsidRPr="00A800E0" w:rsidRDefault="00A75A48" w:rsidP="00A75A48">
      <w:pPr>
        <w:pStyle w:val="SingleTxtG"/>
        <w:rPr>
          <w:b/>
          <w:bCs/>
        </w:rPr>
      </w:pPr>
      <w:r w:rsidRPr="00A800E0">
        <w:rPr>
          <w:color w:val="000000"/>
        </w:rPr>
        <w:tab/>
      </w:r>
      <w:r w:rsidR="00766FF5" w:rsidRPr="00A800E0">
        <w:rPr>
          <w:color w:val="000000"/>
        </w:rPr>
        <w:t>(b)</w:t>
      </w:r>
      <w:r w:rsidR="00766FF5" w:rsidRPr="00A800E0">
        <w:rPr>
          <w:color w:val="000000"/>
        </w:rPr>
        <w:tab/>
      </w:r>
      <w:r w:rsidR="00766FF5" w:rsidRPr="00A800E0">
        <w:rPr>
          <w:b/>
          <w:bCs/>
          <w:color w:val="000000"/>
        </w:rPr>
        <w:t xml:space="preserve">States Parties conduct research on the complexity of disability-based violence in all its forms, including on trends, root causes, prevalence, perpetrators and </w:t>
      </w:r>
      <w:r w:rsidR="00766FF5" w:rsidRPr="00A800E0">
        <w:rPr>
          <w:b/>
          <w:bCs/>
          <w:color w:val="000000"/>
        </w:rPr>
        <w:lastRenderedPageBreak/>
        <w:t>persons with disabilities affected. These data and findings should inform policy design, implementation and monitoring;</w:t>
      </w:r>
    </w:p>
    <w:p w14:paraId="49B3DFDF" w14:textId="6EDE9319" w:rsidR="00766FF5" w:rsidRPr="00A800E0" w:rsidRDefault="00A75A48" w:rsidP="00A75A48">
      <w:pPr>
        <w:pStyle w:val="SingleTxtG"/>
        <w:rPr>
          <w:b/>
          <w:bCs/>
        </w:rPr>
      </w:pPr>
      <w:r w:rsidRPr="00A800E0">
        <w:tab/>
      </w:r>
      <w:r w:rsidR="00766FF5" w:rsidRPr="00A800E0">
        <w:t>(c)</w:t>
      </w:r>
      <w:r w:rsidR="00766FF5" w:rsidRPr="00A800E0">
        <w:tab/>
      </w:r>
      <w:r w:rsidR="00766FF5" w:rsidRPr="00A800E0">
        <w:rPr>
          <w:b/>
          <w:bCs/>
        </w:rPr>
        <w:t>Independent monitoring mechanisms, including national human rights institutions and national, regional and international mechanisms for the prevention of torture, monitor measures to identify and address disability-based violence;</w:t>
      </w:r>
    </w:p>
    <w:p w14:paraId="14A03A5E" w14:textId="6BBE254F" w:rsidR="00766FF5" w:rsidRPr="00A800E0" w:rsidRDefault="00A75A48" w:rsidP="00A75A48">
      <w:pPr>
        <w:pStyle w:val="SingleTxtG"/>
        <w:rPr>
          <w:b/>
          <w:bCs/>
        </w:rPr>
      </w:pPr>
      <w:r w:rsidRPr="00A800E0">
        <w:tab/>
      </w:r>
      <w:r w:rsidR="00766FF5" w:rsidRPr="00A800E0">
        <w:t>(d)</w:t>
      </w:r>
      <w:r w:rsidR="00766FF5" w:rsidRPr="00A800E0">
        <w:tab/>
      </w:r>
      <w:r w:rsidR="00766FF5" w:rsidRPr="00A800E0">
        <w:rPr>
          <w:b/>
          <w:bCs/>
        </w:rPr>
        <w:t xml:space="preserve">Persons with disabilities and their representative organizations be actively involved in monitoring; </w:t>
      </w:r>
    </w:p>
    <w:p w14:paraId="61EBDF25" w14:textId="38FA0E18" w:rsidR="00766FF5" w:rsidRPr="00A800E0" w:rsidRDefault="00A75A48" w:rsidP="00A75A48">
      <w:pPr>
        <w:pStyle w:val="SingleTxtG"/>
        <w:rPr>
          <w:b/>
          <w:bCs/>
        </w:rPr>
      </w:pPr>
      <w:r w:rsidRPr="00A800E0">
        <w:tab/>
      </w:r>
      <w:r w:rsidR="00766FF5" w:rsidRPr="00A800E0">
        <w:t>(e)</w:t>
      </w:r>
      <w:r w:rsidR="00766FF5" w:rsidRPr="00A800E0">
        <w:tab/>
      </w:r>
      <w:r w:rsidR="00766FF5" w:rsidRPr="00A800E0">
        <w:rPr>
          <w:b/>
          <w:bCs/>
        </w:rPr>
        <w:t>The Global Disability Fund and United Nations entities support the implementation of these guidelines, including through their technical cooperation programmes;</w:t>
      </w:r>
      <w:r w:rsidR="00DE4F13" w:rsidRPr="00A800E0">
        <w:rPr>
          <w:b/>
          <w:bCs/>
        </w:rPr>
        <w:t xml:space="preserve"> </w:t>
      </w:r>
    </w:p>
    <w:p w14:paraId="30DC74B8" w14:textId="4CDC63B2" w:rsidR="00766FF5" w:rsidRPr="000D302F" w:rsidRDefault="00A75A48" w:rsidP="000D302F">
      <w:pPr>
        <w:pStyle w:val="SingleTxtG"/>
      </w:pPr>
      <w:r w:rsidRPr="00A800E0">
        <w:tab/>
      </w:r>
      <w:r w:rsidR="00766FF5" w:rsidRPr="00A800E0">
        <w:t>(f)</w:t>
      </w:r>
      <w:r w:rsidR="00766FF5" w:rsidRPr="00A800E0">
        <w:tab/>
      </w:r>
      <w:r w:rsidR="00766FF5" w:rsidRPr="000D302F">
        <w:rPr>
          <w:b/>
          <w:bCs/>
        </w:rPr>
        <w:t>Humanitarian preparedness and response plans and comprehensive protection strategies include measures to identify and prevent risks of disability-based violence, and to ensure redress for survivors of violence in humanitarian contexts.</w:t>
      </w:r>
    </w:p>
    <w:p w14:paraId="14768E5D" w14:textId="77777777" w:rsidR="00766FF5" w:rsidRPr="00A800E0" w:rsidRDefault="00766FF5" w:rsidP="00766FF5">
      <w:pPr>
        <w:spacing w:before="240"/>
        <w:jc w:val="center"/>
        <w:rPr>
          <w:u w:val="single"/>
        </w:rPr>
      </w:pPr>
      <w:r w:rsidRPr="00A800E0">
        <w:rPr>
          <w:u w:val="single"/>
        </w:rPr>
        <w:tab/>
      </w:r>
      <w:r w:rsidRPr="00A800E0">
        <w:rPr>
          <w:u w:val="single"/>
        </w:rPr>
        <w:tab/>
      </w:r>
      <w:r w:rsidRPr="00A800E0">
        <w:rPr>
          <w:u w:val="single"/>
        </w:rPr>
        <w:tab/>
      </w:r>
    </w:p>
    <w:sectPr w:rsidR="00766FF5" w:rsidRPr="00A800E0" w:rsidSect="009C7535">
      <w:headerReference w:type="even" r:id="rId12"/>
      <w:headerReference w:type="default" r:id="rId13"/>
      <w:footerReference w:type="even" r:id="rId14"/>
      <w:footerReference w:type="default" r:id="rId15"/>
      <w:footerReference w:type="first" r:id="rId16"/>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D745B" w14:textId="77777777" w:rsidR="00E94B76" w:rsidRPr="00317DC1" w:rsidRDefault="00E94B76" w:rsidP="00317DC1">
      <w:pPr>
        <w:pStyle w:val="Footer"/>
      </w:pPr>
    </w:p>
  </w:endnote>
  <w:endnote w:type="continuationSeparator" w:id="0">
    <w:p w14:paraId="71E8C26D" w14:textId="77777777" w:rsidR="00E94B76" w:rsidRPr="00317DC1" w:rsidRDefault="00E94B76" w:rsidP="00317DC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2E1B3" w14:textId="458C4CBC" w:rsidR="00530913" w:rsidRDefault="00530913" w:rsidP="00530913">
    <w:pPr>
      <w:pStyle w:val="Footer"/>
      <w:tabs>
        <w:tab w:val="right" w:pos="9638"/>
      </w:tabs>
    </w:pPr>
    <w:r w:rsidRPr="00530913">
      <w:rPr>
        <w:b/>
        <w:bCs/>
        <w:sz w:val="18"/>
      </w:rPr>
      <w:fldChar w:fldCharType="begin"/>
    </w:r>
    <w:r w:rsidRPr="00530913">
      <w:rPr>
        <w:b/>
        <w:bCs/>
        <w:sz w:val="18"/>
      </w:rPr>
      <w:instrText xml:space="preserve"> PAGE  \* MERGEFORMAT </w:instrText>
    </w:r>
    <w:r w:rsidRPr="00530913">
      <w:rPr>
        <w:b/>
        <w:bCs/>
        <w:sz w:val="18"/>
      </w:rPr>
      <w:fldChar w:fldCharType="separate"/>
    </w:r>
    <w:r w:rsidRPr="00530913">
      <w:rPr>
        <w:b/>
        <w:bCs/>
        <w:noProof/>
        <w:sz w:val="18"/>
      </w:rPr>
      <w:t>2</w:t>
    </w:r>
    <w:r w:rsidRPr="00530913">
      <w:rPr>
        <w:b/>
        <w:bCs/>
        <w:sz w:val="18"/>
      </w:rPr>
      <w:fldChar w:fldCharType="end"/>
    </w:r>
    <w:r>
      <w:tab/>
      <w:t>GE.26-14608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A43F" w14:textId="545D4CDB" w:rsidR="00530913" w:rsidRDefault="00530913" w:rsidP="00530913">
    <w:pPr>
      <w:pStyle w:val="Footer"/>
      <w:tabs>
        <w:tab w:val="right" w:pos="9638"/>
      </w:tabs>
    </w:pPr>
    <w:r>
      <w:t>GE.26-14608</w:t>
    </w:r>
    <w:r>
      <w:tab/>
    </w:r>
    <w:r w:rsidRPr="00530913">
      <w:rPr>
        <w:b/>
        <w:bCs/>
        <w:sz w:val="18"/>
      </w:rPr>
      <w:fldChar w:fldCharType="begin"/>
    </w:r>
    <w:r w:rsidRPr="00530913">
      <w:rPr>
        <w:b/>
        <w:bCs/>
        <w:sz w:val="18"/>
      </w:rPr>
      <w:instrText xml:space="preserve"> PAGE  \* MERGEFORMAT </w:instrText>
    </w:r>
    <w:r w:rsidRPr="00530913">
      <w:rPr>
        <w:b/>
        <w:bCs/>
        <w:sz w:val="18"/>
      </w:rPr>
      <w:fldChar w:fldCharType="separate"/>
    </w:r>
    <w:r w:rsidRPr="00530913">
      <w:rPr>
        <w:b/>
        <w:bCs/>
        <w:noProof/>
        <w:sz w:val="18"/>
      </w:rPr>
      <w:t>3</w:t>
    </w:r>
    <w:r w:rsidRPr="00530913">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4751" w14:textId="564A4E8F" w:rsidR="00530913" w:rsidRDefault="00530913">
    <w:pPr>
      <w:pStyle w:val="Footer"/>
      <w:rPr>
        <w:sz w:val="20"/>
      </w:rPr>
    </w:pPr>
    <w:r w:rsidRPr="0027112F">
      <w:rPr>
        <w:noProof/>
        <w:lang w:val="en-US"/>
      </w:rPr>
      <w:drawing>
        <wp:anchor distT="0" distB="0" distL="114300" distR="114300" simplePos="0" relativeHeight="251659264" behindDoc="0" locked="1" layoutInCell="1" allowOverlap="1" wp14:anchorId="7BB4B0AB" wp14:editId="5DEA7F77">
          <wp:simplePos x="0" y="0"/>
          <wp:positionH relativeFrom="column">
            <wp:posOffset>4558030</wp:posOffset>
          </wp:positionH>
          <wp:positionV relativeFrom="page">
            <wp:posOffset>10128250</wp:posOffset>
          </wp:positionV>
          <wp:extent cx="932400" cy="230400"/>
          <wp:effectExtent l="0" t="0" r="1270" b="0"/>
          <wp:wrapNone/>
          <wp:docPr id="5" name="Picture 1"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209CD363" w14:textId="5BB402B3" w:rsidR="00530913" w:rsidRPr="00530913" w:rsidRDefault="00530913" w:rsidP="00530913">
    <w:pPr>
      <w:pStyle w:val="Footer"/>
      <w:rPr>
        <w:sz w:val="20"/>
      </w:rPr>
    </w:pPr>
    <w:r>
      <w:rPr>
        <w:sz w:val="20"/>
      </w:rPr>
      <w:t>GE.26-14608  (E)</w:t>
    </w:r>
    <w:r>
      <w:rPr>
        <w:noProof/>
        <w:sz w:val="20"/>
      </w:rPr>
      <w:drawing>
        <wp:anchor distT="0" distB="0" distL="114300" distR="114300" simplePos="0" relativeHeight="251660288" behindDoc="0" locked="0" layoutInCell="1" allowOverlap="1" wp14:anchorId="4EA9F208" wp14:editId="2D26ECA3">
          <wp:simplePos x="0" y="0"/>
          <wp:positionH relativeFrom="margin">
            <wp:posOffset>5583555</wp:posOffset>
          </wp:positionH>
          <wp:positionV relativeFrom="margin">
            <wp:posOffset>8981440</wp:posOffset>
          </wp:positionV>
          <wp:extent cx="571500" cy="571500"/>
          <wp:effectExtent l="0" t="0" r="0" b="0"/>
          <wp:wrapNone/>
          <wp:docPr id="1753171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E4F13">
      <w:rPr>
        <w:sz w:val="20"/>
      </w:rPr>
      <w:t xml:space="preserve">    141026    </w:t>
    </w:r>
    <w:r w:rsidR="00600D6A">
      <w:rPr>
        <w:sz w:val="20"/>
      </w:rPr>
      <w:t>15</w:t>
    </w:r>
    <w:r w:rsidR="00DE4F13">
      <w:rPr>
        <w:sz w:val="20"/>
      </w:rPr>
      <w:t>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0191" w14:textId="77777777" w:rsidR="00E94B76" w:rsidRPr="00317DC1" w:rsidRDefault="00E94B76" w:rsidP="00317DC1">
      <w:pPr>
        <w:tabs>
          <w:tab w:val="right" w:pos="2155"/>
        </w:tabs>
        <w:spacing w:after="80" w:line="240" w:lineRule="auto"/>
        <w:ind w:left="680"/>
      </w:pPr>
      <w:r>
        <w:rPr>
          <w:u w:val="single"/>
        </w:rPr>
        <w:tab/>
      </w:r>
    </w:p>
  </w:footnote>
  <w:footnote w:type="continuationSeparator" w:id="0">
    <w:p w14:paraId="5FD93A48" w14:textId="77777777" w:rsidR="00E94B76" w:rsidRPr="00317DC1" w:rsidRDefault="00E94B76" w:rsidP="00317DC1">
      <w:pPr>
        <w:tabs>
          <w:tab w:val="right" w:pos="2155"/>
        </w:tabs>
        <w:spacing w:after="80" w:line="240" w:lineRule="auto"/>
        <w:ind w:left="680"/>
      </w:pPr>
      <w:r>
        <w:rPr>
          <w:u w:val="single"/>
        </w:rPr>
        <w:tab/>
      </w:r>
    </w:p>
  </w:footnote>
  <w:footnote w:id="1">
    <w:p w14:paraId="23403F42" w14:textId="77777777" w:rsidR="00766FF5" w:rsidRPr="00A800E0" w:rsidRDefault="00766FF5" w:rsidP="00766FF5">
      <w:pPr>
        <w:pStyle w:val="FootnoteText"/>
      </w:pPr>
      <w:r w:rsidRPr="00A800E0">
        <w:rPr>
          <w:rStyle w:val="FootnoteReference"/>
          <w:sz w:val="20"/>
          <w:szCs w:val="22"/>
          <w:vertAlign w:val="baseline"/>
        </w:rPr>
        <w:tab/>
        <w:t>*</w:t>
      </w:r>
      <w:r w:rsidRPr="00A800E0">
        <w:rPr>
          <w:rStyle w:val="FootnoteReference"/>
          <w:sz w:val="20"/>
          <w:szCs w:val="22"/>
          <w:vertAlign w:val="baseline"/>
        </w:rPr>
        <w:tab/>
      </w:r>
      <w:r w:rsidRPr="00A800E0">
        <w:rPr>
          <w:rFonts w:asciiTheme="majorBidi" w:hAnsiTheme="majorBidi"/>
          <w:kern w:val="2"/>
          <w14:ligatures w14:val="standardContextual"/>
        </w:rPr>
        <w:t>Adopted by the Committee at its thirty-fifth session (12–27 August 2026).</w:t>
      </w:r>
    </w:p>
  </w:footnote>
  <w:footnote w:id="2">
    <w:p w14:paraId="72C786AA" w14:textId="77777777" w:rsidR="00766FF5" w:rsidRPr="00A800E0" w:rsidRDefault="00766FF5" w:rsidP="00766FF5">
      <w:pPr>
        <w:pStyle w:val="FootnoteText"/>
      </w:pPr>
      <w:r w:rsidRPr="00A800E0">
        <w:tab/>
      </w:r>
      <w:r w:rsidRPr="00A800E0">
        <w:rPr>
          <w:rStyle w:val="FootnoteReference"/>
        </w:rPr>
        <w:footnoteRef/>
      </w:r>
      <w:r w:rsidRPr="00A800E0">
        <w:tab/>
      </w:r>
      <w:r w:rsidRPr="00A800E0">
        <w:rPr>
          <w:rFonts w:asciiTheme="majorBidi" w:hAnsiTheme="majorBidi" w:cstheme="majorBidi"/>
        </w:rPr>
        <w:t>The present document addresses disability-based violence; reading it may trigger post-traumatic stress. The Committee advises readers who may be affected to consider seeking support in order to prevent potential impact.</w:t>
      </w:r>
    </w:p>
  </w:footnote>
  <w:footnote w:id="3">
    <w:p w14:paraId="6B8610BB" w14:textId="4CC9C525" w:rsidR="00766FF5" w:rsidRPr="00A800E0" w:rsidRDefault="00766FF5" w:rsidP="00766FF5">
      <w:pPr>
        <w:pStyle w:val="FootnoteText"/>
      </w:pPr>
      <w:r w:rsidRPr="00A800E0">
        <w:tab/>
      </w:r>
      <w:r w:rsidRPr="00A800E0">
        <w:rPr>
          <w:rStyle w:val="FootnoteReference"/>
        </w:rPr>
        <w:footnoteRef/>
      </w:r>
      <w:r w:rsidRPr="00A800E0">
        <w:tab/>
        <w:t xml:space="preserve">General comment No. 3 (2016), paras. 17 and 29; and </w:t>
      </w:r>
      <w:r w:rsidR="00855E40" w:rsidRPr="00A800E0">
        <w:t xml:space="preserve">general </w:t>
      </w:r>
      <w:r w:rsidRPr="00A800E0">
        <w:t>comment No. 6 (2018), para. 18.</w:t>
      </w:r>
    </w:p>
  </w:footnote>
  <w:footnote w:id="4">
    <w:p w14:paraId="113CC235" w14:textId="739D03D7" w:rsidR="00766FF5" w:rsidRPr="00A800E0" w:rsidRDefault="00766FF5" w:rsidP="00766FF5">
      <w:pPr>
        <w:pStyle w:val="FootnoteText"/>
        <w:rPr>
          <w:szCs w:val="18"/>
        </w:rPr>
      </w:pPr>
      <w:r w:rsidRPr="00A800E0">
        <w:rPr>
          <w:szCs w:val="18"/>
        </w:rPr>
        <w:tab/>
      </w:r>
      <w:r w:rsidRPr="00A800E0">
        <w:rPr>
          <w:rStyle w:val="FootnoteReference"/>
          <w:szCs w:val="18"/>
        </w:rPr>
        <w:footnoteRef/>
      </w:r>
      <w:r w:rsidRPr="00A800E0">
        <w:rPr>
          <w:szCs w:val="18"/>
        </w:rPr>
        <w:tab/>
        <w:t>Committee on the Rights of the Child, general comment No. 13 (2011), paras. 4, 20 and 21.</w:t>
      </w:r>
    </w:p>
  </w:footnote>
  <w:footnote w:id="5">
    <w:p w14:paraId="62F330DC" w14:textId="77777777" w:rsidR="00766FF5" w:rsidRPr="00600D6A" w:rsidRDefault="00766FF5" w:rsidP="00766FF5">
      <w:pPr>
        <w:pStyle w:val="FootnoteText"/>
        <w:rPr>
          <w:szCs w:val="18"/>
          <w:lang w:val="es-ES"/>
        </w:rPr>
      </w:pPr>
      <w:r w:rsidRPr="00A800E0">
        <w:rPr>
          <w:szCs w:val="18"/>
        </w:rPr>
        <w:tab/>
      </w:r>
      <w:r w:rsidRPr="00A800E0">
        <w:rPr>
          <w:rStyle w:val="FootnoteReference"/>
          <w:szCs w:val="18"/>
        </w:rPr>
        <w:footnoteRef/>
      </w:r>
      <w:r w:rsidRPr="00A800E0">
        <w:rPr>
          <w:szCs w:val="18"/>
        </w:rPr>
        <w:tab/>
        <w:t xml:space="preserve">See </w:t>
      </w:r>
      <w:hyperlink r:id="rId1" w:history="1">
        <w:r w:rsidRPr="00A800E0">
          <w:rPr>
            <w:rStyle w:val="Hyperlink"/>
            <w:szCs w:val="18"/>
          </w:rPr>
          <w:t>https://www.ohchr.org/en/documents/tools-and-resources/harmful-practices-gender-based-violence-against-women-and-girls-cedaw</w:t>
        </w:r>
      </w:hyperlink>
      <w:r w:rsidRPr="00A800E0">
        <w:t>);</w:t>
      </w:r>
      <w:r w:rsidRPr="00A800E0">
        <w:rPr>
          <w:szCs w:val="18"/>
        </w:rPr>
        <w:t xml:space="preserve"> and Committee on the Rights of Persons with Disabilities, </w:t>
      </w:r>
      <w:r w:rsidRPr="00A800E0">
        <w:t>general comment No. 3 (2016)</w:t>
      </w:r>
      <w:r w:rsidRPr="00A800E0">
        <w:rPr>
          <w:szCs w:val="18"/>
        </w:rPr>
        <w:t xml:space="preserve">, paras. </w:t>
      </w:r>
      <w:r w:rsidRPr="00600D6A">
        <w:rPr>
          <w:szCs w:val="18"/>
          <w:lang w:val="es-ES"/>
        </w:rPr>
        <w:t>36 and 37.</w:t>
      </w:r>
    </w:p>
  </w:footnote>
  <w:footnote w:id="6">
    <w:p w14:paraId="26A65E4F" w14:textId="3F3EB97E" w:rsidR="00766FF5" w:rsidRPr="00600D6A" w:rsidRDefault="00766FF5" w:rsidP="00766FF5">
      <w:pPr>
        <w:pStyle w:val="FootnoteText"/>
        <w:rPr>
          <w:lang w:val="es-ES"/>
        </w:rPr>
      </w:pPr>
      <w:r w:rsidRPr="00600D6A">
        <w:rPr>
          <w:lang w:val="es-ES"/>
        </w:rPr>
        <w:tab/>
      </w:r>
      <w:r w:rsidRPr="00A800E0">
        <w:rPr>
          <w:rStyle w:val="FootnoteReference"/>
        </w:rPr>
        <w:footnoteRef/>
      </w:r>
      <w:r w:rsidRPr="00600D6A">
        <w:rPr>
          <w:lang w:val="es-ES"/>
        </w:rPr>
        <w:tab/>
      </w:r>
      <w:hyperlink r:id="rId2" w:history="1">
        <w:r w:rsidRPr="00600D6A">
          <w:rPr>
            <w:rStyle w:val="Hyperlink"/>
            <w:lang w:val="es-ES"/>
          </w:rPr>
          <w:t>CRPD/C/ESP/IR/1</w:t>
        </w:r>
      </w:hyperlink>
      <w:r w:rsidRPr="00600D6A">
        <w:rPr>
          <w:lang w:val="es-ES"/>
        </w:rPr>
        <w:t>, para. 79.</w:t>
      </w:r>
    </w:p>
  </w:footnote>
  <w:footnote w:id="7">
    <w:p w14:paraId="577CD63D" w14:textId="2CC7965C" w:rsidR="00766FF5" w:rsidRPr="00600D6A" w:rsidRDefault="00766FF5" w:rsidP="00766FF5">
      <w:pPr>
        <w:pStyle w:val="FootnoteText"/>
        <w:rPr>
          <w:lang w:val="es-ES"/>
        </w:rPr>
      </w:pPr>
      <w:r w:rsidRPr="00600D6A">
        <w:rPr>
          <w:lang w:val="es-ES"/>
        </w:rPr>
        <w:tab/>
      </w:r>
      <w:r w:rsidRPr="00A800E0">
        <w:rPr>
          <w:rStyle w:val="FootnoteReference"/>
        </w:rPr>
        <w:footnoteRef/>
      </w:r>
      <w:r w:rsidRPr="00600D6A">
        <w:rPr>
          <w:lang w:val="es-ES"/>
        </w:rPr>
        <w:tab/>
      </w:r>
      <w:hyperlink r:id="rId3" w:history="1">
        <w:r w:rsidRPr="00600D6A">
          <w:rPr>
            <w:rStyle w:val="Hyperlink"/>
            <w:lang w:val="es-ES"/>
          </w:rPr>
          <w:t>A/72/55</w:t>
        </w:r>
      </w:hyperlink>
      <w:r w:rsidRPr="00600D6A">
        <w:rPr>
          <w:lang w:val="es-ES"/>
        </w:rPr>
        <w:t>, annex.</w:t>
      </w:r>
    </w:p>
  </w:footnote>
  <w:footnote w:id="8">
    <w:p w14:paraId="6B33BE52" w14:textId="7FE00277" w:rsidR="00766FF5" w:rsidRPr="00600D6A" w:rsidRDefault="00766FF5" w:rsidP="00766FF5">
      <w:pPr>
        <w:pStyle w:val="FootnoteText"/>
        <w:rPr>
          <w:lang w:val="es-ES"/>
        </w:rPr>
      </w:pPr>
      <w:r w:rsidRPr="00600D6A">
        <w:rPr>
          <w:lang w:val="es-ES"/>
        </w:rPr>
        <w:tab/>
      </w:r>
      <w:r w:rsidRPr="00A800E0">
        <w:rPr>
          <w:rStyle w:val="FootnoteReference"/>
        </w:rPr>
        <w:footnoteRef/>
      </w:r>
      <w:r w:rsidRPr="00600D6A">
        <w:rPr>
          <w:lang w:val="es-ES"/>
        </w:rPr>
        <w:tab/>
      </w:r>
      <w:hyperlink r:id="rId4" w:history="1">
        <w:r w:rsidRPr="00600D6A">
          <w:rPr>
            <w:rStyle w:val="Hyperlink"/>
            <w:lang w:val="es-ES"/>
          </w:rPr>
          <w:t>CRPD/C/5</w:t>
        </w:r>
      </w:hyperlink>
      <w:r w:rsidRPr="00600D6A">
        <w:rPr>
          <w:lang w:val="es-ES"/>
        </w:rPr>
        <w:t>.</w:t>
      </w:r>
    </w:p>
  </w:footnote>
  <w:footnote w:id="9">
    <w:p w14:paraId="3B1939AA" w14:textId="77777777" w:rsidR="00766FF5" w:rsidRPr="00A800E0" w:rsidRDefault="00766FF5" w:rsidP="00766FF5">
      <w:pPr>
        <w:pStyle w:val="FootnoteText"/>
      </w:pPr>
      <w:r w:rsidRPr="00600D6A">
        <w:rPr>
          <w:lang w:val="es-ES"/>
        </w:rPr>
        <w:tab/>
      </w:r>
      <w:r w:rsidRPr="00A800E0">
        <w:rPr>
          <w:rStyle w:val="FootnoteReference"/>
        </w:rPr>
        <w:footnoteRef/>
      </w:r>
      <w:r w:rsidRPr="00A800E0">
        <w:tab/>
        <w:t>See https://www.ohchr.org/en/calls-for-input/2025/survey-disability-based-violence.</w:t>
      </w:r>
    </w:p>
  </w:footnote>
  <w:footnote w:id="10">
    <w:p w14:paraId="51C5FB8F" w14:textId="77777777" w:rsidR="00766FF5" w:rsidRPr="00A800E0" w:rsidRDefault="00766FF5" w:rsidP="00766FF5">
      <w:pPr>
        <w:pStyle w:val="FootnoteText"/>
      </w:pPr>
      <w:r w:rsidRPr="00A800E0">
        <w:tab/>
      </w:r>
      <w:r w:rsidRPr="00A800E0">
        <w:rPr>
          <w:rStyle w:val="FootnoteReference"/>
        </w:rPr>
        <w:footnoteRef/>
      </w:r>
      <w:r w:rsidRPr="00A800E0">
        <w:tab/>
        <w:t xml:space="preserve"> See https://www.ohchr.org/en/calls-for-input/2026/call-inputs-draft-guidelines-identifying-and-addressing-disability-based.</w:t>
      </w:r>
    </w:p>
  </w:footnote>
  <w:footnote w:id="11">
    <w:p w14:paraId="33507DC2" w14:textId="77777777" w:rsidR="00766FF5" w:rsidRPr="00600D6A" w:rsidRDefault="00766FF5" w:rsidP="00766FF5">
      <w:pPr>
        <w:pStyle w:val="FootnoteText"/>
        <w:rPr>
          <w:lang w:val="es-ES"/>
        </w:rPr>
      </w:pPr>
      <w:r w:rsidRPr="00A800E0">
        <w:tab/>
      </w:r>
      <w:r w:rsidRPr="00A800E0">
        <w:rPr>
          <w:rStyle w:val="FootnoteReference"/>
        </w:rPr>
        <w:footnoteRef/>
      </w:r>
      <w:r w:rsidRPr="00600D6A">
        <w:rPr>
          <w:lang w:val="es-ES"/>
        </w:rPr>
        <w:tab/>
        <w:t>General comment No. 6 (2018), para. 3.</w:t>
      </w:r>
    </w:p>
  </w:footnote>
  <w:footnote w:id="12">
    <w:p w14:paraId="31F54907" w14:textId="28B8018B" w:rsidR="00766FF5" w:rsidRPr="00A800E0" w:rsidRDefault="00766FF5" w:rsidP="00766FF5">
      <w:pPr>
        <w:pStyle w:val="FootnoteText"/>
      </w:pPr>
      <w:r w:rsidRPr="00600D6A">
        <w:rPr>
          <w:lang w:val="es-ES"/>
        </w:rPr>
        <w:tab/>
      </w:r>
      <w:r w:rsidRPr="00A800E0">
        <w:rPr>
          <w:rStyle w:val="FootnoteReference"/>
        </w:rPr>
        <w:footnoteRef/>
      </w:r>
      <w:r w:rsidRPr="00600D6A">
        <w:rPr>
          <w:lang w:val="es-ES"/>
        </w:rPr>
        <w:tab/>
        <w:t xml:space="preserve">General comment No. 1 (2014), paras. </w:t>
      </w:r>
      <w:r w:rsidRPr="00A800E0">
        <w:t>40 and 42.</w:t>
      </w:r>
    </w:p>
  </w:footnote>
  <w:footnote w:id="13">
    <w:p w14:paraId="29FF6B4F" w14:textId="36200ABD" w:rsidR="00766FF5" w:rsidRPr="00A800E0" w:rsidRDefault="00766FF5" w:rsidP="00766FF5">
      <w:pPr>
        <w:pStyle w:val="FootnoteText"/>
        <w:rPr>
          <w:szCs w:val="18"/>
        </w:rPr>
      </w:pPr>
      <w:r w:rsidRPr="00A800E0">
        <w:tab/>
      </w:r>
      <w:r w:rsidRPr="00A800E0">
        <w:rPr>
          <w:rStyle w:val="FootnoteReference"/>
        </w:rPr>
        <w:footnoteRef/>
      </w:r>
      <w:r w:rsidRPr="00A800E0">
        <w:tab/>
      </w:r>
      <w:hyperlink r:id="rId5" w:history="1">
        <w:r w:rsidRPr="00A800E0">
          <w:rPr>
            <w:rStyle w:val="Hyperlink"/>
            <w:szCs w:val="18"/>
          </w:rPr>
          <w:t>A/HRC/43/41</w:t>
        </w:r>
      </w:hyperlink>
      <w:r w:rsidRPr="00A800E0">
        <w:rPr>
          <w:color w:val="000000"/>
          <w:szCs w:val="18"/>
        </w:rPr>
        <w:t>, paras. 9–11.</w:t>
      </w:r>
    </w:p>
  </w:footnote>
  <w:footnote w:id="14">
    <w:p w14:paraId="46C48067" w14:textId="77777777" w:rsidR="00766FF5" w:rsidRPr="00A800E0" w:rsidRDefault="00766FF5" w:rsidP="00766FF5">
      <w:pPr>
        <w:pStyle w:val="FootnoteText"/>
      </w:pPr>
      <w:r w:rsidRPr="00A800E0">
        <w:tab/>
      </w:r>
      <w:r w:rsidRPr="00A800E0">
        <w:rPr>
          <w:rStyle w:val="FootnoteReference"/>
        </w:rPr>
        <w:footnoteRef/>
      </w:r>
      <w:r w:rsidRPr="00A800E0">
        <w:tab/>
        <w:t>General comment No. 8 (2022), para. 3; see also para. 7.</w:t>
      </w:r>
    </w:p>
  </w:footnote>
  <w:footnote w:id="15">
    <w:p w14:paraId="7B7ECCED" w14:textId="48ADEED6" w:rsidR="00766FF5" w:rsidRPr="00A800E0" w:rsidRDefault="00766FF5" w:rsidP="00766FF5">
      <w:pPr>
        <w:pStyle w:val="FootnoteText"/>
      </w:pPr>
      <w:r w:rsidRPr="00A800E0">
        <w:tab/>
      </w:r>
      <w:r w:rsidRPr="00A800E0">
        <w:rPr>
          <w:rStyle w:val="FootnoteReference"/>
        </w:rPr>
        <w:footnoteRef/>
      </w:r>
      <w:r w:rsidRPr="00A800E0">
        <w:tab/>
      </w:r>
      <w:hyperlink r:id="rId6" w:history="1">
        <w:r w:rsidRPr="00A800E0">
          <w:rPr>
            <w:rStyle w:val="Hyperlink"/>
          </w:rPr>
          <w:t>CRPD/C/HTI/CO/1</w:t>
        </w:r>
      </w:hyperlink>
      <w:r w:rsidRPr="00A800E0">
        <w:t>, para. 18.</w:t>
      </w:r>
    </w:p>
  </w:footnote>
  <w:footnote w:id="16">
    <w:p w14:paraId="4A889450" w14:textId="5776E02C" w:rsidR="00766FF5" w:rsidRPr="00600D6A" w:rsidRDefault="00766FF5" w:rsidP="00766FF5">
      <w:pPr>
        <w:pStyle w:val="FootnoteText"/>
        <w:rPr>
          <w:lang w:val="es-ES"/>
        </w:rPr>
      </w:pPr>
      <w:r w:rsidRPr="00A800E0">
        <w:tab/>
      </w:r>
      <w:r w:rsidRPr="00A800E0">
        <w:rPr>
          <w:rStyle w:val="FootnoteReference"/>
        </w:rPr>
        <w:footnoteRef/>
      </w:r>
      <w:r w:rsidRPr="00A800E0">
        <w:tab/>
        <w:t>On institutional settings in this context, see general comment No. 5 (2017), para. 16 (c); and the Committee</w:t>
      </w:r>
      <w:r w:rsidR="00441B88">
        <w:t>’</w:t>
      </w:r>
      <w:r w:rsidRPr="00A800E0">
        <w:t xml:space="preserve">s guidelines on deinstitutionalization, including in emergencies, paras. </w:t>
      </w:r>
      <w:r w:rsidRPr="00600D6A">
        <w:rPr>
          <w:lang w:val="es-ES"/>
        </w:rPr>
        <w:t>14 and 15.</w:t>
      </w:r>
    </w:p>
  </w:footnote>
  <w:footnote w:id="17">
    <w:p w14:paraId="74AE9069" w14:textId="7D468A69" w:rsidR="00766FF5" w:rsidRPr="00A800E0" w:rsidRDefault="00766FF5" w:rsidP="00766FF5">
      <w:pPr>
        <w:pStyle w:val="FootnoteText"/>
      </w:pPr>
      <w:r w:rsidRPr="00600D6A">
        <w:rPr>
          <w:lang w:val="es-ES"/>
        </w:rPr>
        <w:tab/>
      </w:r>
      <w:r w:rsidRPr="00A800E0">
        <w:rPr>
          <w:rStyle w:val="FootnoteReference"/>
        </w:rPr>
        <w:footnoteRef/>
      </w:r>
      <w:r w:rsidRPr="00600D6A">
        <w:rPr>
          <w:lang w:val="es-ES"/>
        </w:rPr>
        <w:tab/>
      </w:r>
      <w:hyperlink r:id="rId7" w:history="1">
        <w:r w:rsidRPr="00600D6A">
          <w:rPr>
            <w:rStyle w:val="Hyperlink"/>
            <w:szCs w:val="18"/>
            <w:lang w:val="es-ES"/>
          </w:rPr>
          <w:t>CRPD/C/MEX/IR/1</w:t>
        </w:r>
      </w:hyperlink>
      <w:r w:rsidRPr="00600D6A">
        <w:rPr>
          <w:szCs w:val="18"/>
          <w:lang w:val="es-ES"/>
        </w:rPr>
        <w:t xml:space="preserve">, para. 33; </w:t>
      </w:r>
      <w:hyperlink r:id="rId8" w:history="1">
        <w:r w:rsidRPr="00600D6A">
          <w:rPr>
            <w:rStyle w:val="Hyperlink"/>
            <w:szCs w:val="18"/>
            <w:lang w:val="es-ES"/>
          </w:rPr>
          <w:t>CRPD/C/HUN/IR/1</w:t>
        </w:r>
      </w:hyperlink>
      <w:r w:rsidRPr="00600D6A">
        <w:rPr>
          <w:szCs w:val="18"/>
          <w:lang w:val="es-ES"/>
        </w:rPr>
        <w:t xml:space="preserve"> and </w:t>
      </w:r>
      <w:hyperlink r:id="rId9" w:history="1">
        <w:r w:rsidRPr="00600D6A">
          <w:rPr>
            <w:rStyle w:val="Hyperlink"/>
            <w:szCs w:val="18"/>
            <w:lang w:val="es-ES"/>
          </w:rPr>
          <w:t>CRPD/C/HUN/IR/1/Corr.1</w:t>
        </w:r>
      </w:hyperlink>
      <w:r w:rsidRPr="00600D6A">
        <w:rPr>
          <w:szCs w:val="18"/>
          <w:lang w:val="es-ES"/>
        </w:rPr>
        <w:t xml:space="preserve">, para. </w:t>
      </w:r>
      <w:r w:rsidRPr="00A800E0">
        <w:rPr>
          <w:szCs w:val="18"/>
        </w:rPr>
        <w:t xml:space="preserve">108; </w:t>
      </w:r>
      <w:hyperlink r:id="rId10" w:history="1">
        <w:r w:rsidRPr="00A800E0">
          <w:rPr>
            <w:rStyle w:val="Hyperlink"/>
          </w:rPr>
          <w:t>CRPD/C/ESP/IR/1</w:t>
        </w:r>
      </w:hyperlink>
      <w:r w:rsidRPr="00A800E0">
        <w:rPr>
          <w:szCs w:val="18"/>
        </w:rPr>
        <w:t xml:space="preserve">, para. 79; and </w:t>
      </w:r>
      <w:hyperlink r:id="rId11" w:history="1">
        <w:r w:rsidRPr="00A800E0">
          <w:rPr>
            <w:rStyle w:val="Hyperlink"/>
            <w:szCs w:val="18"/>
          </w:rPr>
          <w:t>CRPD/C/15/4</w:t>
        </w:r>
      </w:hyperlink>
      <w:r w:rsidRPr="00A800E0">
        <w:rPr>
          <w:szCs w:val="18"/>
        </w:rPr>
        <w:t xml:space="preserve"> and </w:t>
      </w:r>
      <w:hyperlink r:id="rId12" w:history="1">
        <w:r w:rsidRPr="00A800E0">
          <w:rPr>
            <w:rStyle w:val="Hyperlink"/>
            <w:szCs w:val="18"/>
          </w:rPr>
          <w:t>CRPD/C/15/4/Corr.1</w:t>
        </w:r>
      </w:hyperlink>
      <w:r w:rsidRPr="00A800E0">
        <w:rPr>
          <w:szCs w:val="18"/>
        </w:rPr>
        <w:t>, para. 113.</w:t>
      </w:r>
    </w:p>
  </w:footnote>
  <w:footnote w:id="18">
    <w:p w14:paraId="67E6F3B1" w14:textId="18B41BC7" w:rsidR="00766FF5" w:rsidRPr="00A800E0" w:rsidRDefault="00766FF5" w:rsidP="00766FF5">
      <w:pPr>
        <w:pStyle w:val="FootnoteText"/>
      </w:pPr>
      <w:r w:rsidRPr="00A800E0">
        <w:tab/>
      </w:r>
      <w:r w:rsidRPr="00A800E0">
        <w:rPr>
          <w:rStyle w:val="FootnoteReference"/>
        </w:rPr>
        <w:footnoteRef/>
      </w:r>
      <w:r w:rsidRPr="00A800E0">
        <w:tab/>
        <w:t>Committee on the Elimination of Discrimination against Women, general recommendation No. 35 (2017), paras. 9, 10 and 12</w:t>
      </w:r>
      <w:r w:rsidR="005321DD">
        <w:t>.</w:t>
      </w:r>
    </w:p>
  </w:footnote>
  <w:footnote w:id="19">
    <w:p w14:paraId="221FCEB4" w14:textId="509A6208" w:rsidR="00766FF5" w:rsidRPr="00A800E0" w:rsidRDefault="00766FF5" w:rsidP="00766FF5">
      <w:pPr>
        <w:pStyle w:val="FootnoteText"/>
        <w:rPr>
          <w:color w:val="000000"/>
          <w:sz w:val="20"/>
        </w:rPr>
      </w:pPr>
      <w:r w:rsidRPr="00A800E0">
        <w:rPr>
          <w:color w:val="000000"/>
          <w:sz w:val="20"/>
        </w:rPr>
        <w:tab/>
      </w:r>
      <w:r w:rsidRPr="00A800E0">
        <w:rPr>
          <w:vertAlign w:val="superscript"/>
        </w:rPr>
        <w:footnoteRef/>
      </w:r>
      <w:r w:rsidRPr="00A800E0">
        <w:rPr>
          <w:color w:val="000000"/>
          <w:sz w:val="20"/>
        </w:rPr>
        <w:tab/>
      </w:r>
      <w:r w:rsidRPr="00A800E0">
        <w:t>General comment No. 3 (2016)</w:t>
      </w:r>
      <w:r w:rsidRPr="00A800E0">
        <w:rPr>
          <w:color w:val="000000"/>
          <w:szCs w:val="18"/>
        </w:rPr>
        <w:t>, paras. 17 (e) and 29.</w:t>
      </w:r>
    </w:p>
  </w:footnote>
  <w:footnote w:id="20">
    <w:p w14:paraId="39499D77" w14:textId="77777777" w:rsidR="00766FF5" w:rsidRPr="00A800E0" w:rsidRDefault="00766FF5" w:rsidP="00766FF5">
      <w:pPr>
        <w:pStyle w:val="FootnoteText"/>
      </w:pPr>
      <w:r w:rsidRPr="00A800E0">
        <w:tab/>
      </w:r>
      <w:r w:rsidRPr="00A800E0">
        <w:rPr>
          <w:rStyle w:val="FootnoteReference"/>
        </w:rPr>
        <w:footnoteRef/>
      </w:r>
      <w:r w:rsidRPr="00A800E0">
        <w:tab/>
        <w:t>Committee on the Elimination of Discrimination against Women, general recommendation No. 35 (2017), paras. 16–18.</w:t>
      </w:r>
    </w:p>
  </w:footnote>
  <w:footnote w:id="21">
    <w:p w14:paraId="582AC269" w14:textId="0EC3AED8" w:rsidR="00766FF5" w:rsidRPr="00A800E0" w:rsidRDefault="00766FF5" w:rsidP="00766FF5">
      <w:pPr>
        <w:pStyle w:val="FootnoteText"/>
      </w:pPr>
      <w:r w:rsidRPr="00A800E0">
        <w:tab/>
      </w:r>
      <w:r w:rsidRPr="00A800E0">
        <w:rPr>
          <w:rStyle w:val="FootnoteReference"/>
        </w:rPr>
        <w:footnoteRef/>
      </w:r>
      <w:r w:rsidRPr="00A800E0">
        <w:tab/>
      </w:r>
      <w:hyperlink r:id="rId13" w:history="1">
        <w:r w:rsidRPr="00A800E0">
          <w:rPr>
            <w:rStyle w:val="Hyperlink"/>
          </w:rPr>
          <w:t>CRPD/C/AUS/CO/2-3</w:t>
        </w:r>
      </w:hyperlink>
      <w:r w:rsidRPr="00A800E0">
        <w:t xml:space="preserve">; and </w:t>
      </w:r>
      <w:hyperlink r:id="rId14" w:history="1">
        <w:r w:rsidRPr="00A800E0">
          <w:rPr>
            <w:rStyle w:val="Hyperlink"/>
          </w:rPr>
          <w:t>CRPD/C/BGD/CO/1</w:t>
        </w:r>
      </w:hyperlink>
      <w:r w:rsidRPr="00A800E0">
        <w:t>.</w:t>
      </w:r>
    </w:p>
  </w:footnote>
  <w:footnote w:id="22">
    <w:p w14:paraId="7B710A5C" w14:textId="04175DD4" w:rsidR="00766FF5" w:rsidRPr="00A800E0" w:rsidRDefault="00766FF5" w:rsidP="00766FF5">
      <w:pPr>
        <w:pStyle w:val="FootnoteText"/>
      </w:pPr>
      <w:r w:rsidRPr="00A800E0">
        <w:tab/>
      </w:r>
      <w:r w:rsidRPr="00A800E0">
        <w:rPr>
          <w:rStyle w:val="FootnoteReference"/>
        </w:rPr>
        <w:footnoteRef/>
      </w:r>
      <w:r w:rsidRPr="00A800E0">
        <w:tab/>
      </w:r>
      <w:hyperlink r:id="rId15" w:history="1">
        <w:r w:rsidRPr="00A800E0">
          <w:rPr>
            <w:rStyle w:val="Hyperlink"/>
          </w:rPr>
          <w:t>CRPD/C/MEX/IR/1</w:t>
        </w:r>
      </w:hyperlink>
      <w:r w:rsidRPr="00A800E0">
        <w:t>, paras. 14 and 22.</w:t>
      </w:r>
    </w:p>
  </w:footnote>
  <w:footnote w:id="23">
    <w:p w14:paraId="3AA771EB" w14:textId="0F773AD3" w:rsidR="00766FF5" w:rsidRPr="00A800E0" w:rsidRDefault="00766FF5" w:rsidP="00766FF5">
      <w:pPr>
        <w:pStyle w:val="FootnoteText"/>
      </w:pPr>
      <w:r w:rsidRPr="00A800E0">
        <w:tab/>
      </w:r>
      <w:r w:rsidRPr="00A800E0">
        <w:rPr>
          <w:rStyle w:val="FootnoteReference"/>
        </w:rPr>
        <w:footnoteRef/>
      </w:r>
      <w:r w:rsidRPr="00A800E0">
        <w:tab/>
      </w:r>
      <w:hyperlink r:id="rId16" w:history="1">
        <w:r w:rsidRPr="00A800E0">
          <w:rPr>
            <w:rStyle w:val="Hyperlink"/>
          </w:rPr>
          <w:t>A/72/133</w:t>
        </w:r>
      </w:hyperlink>
      <w:r w:rsidRPr="00A800E0">
        <w:t>, paras. 29–33.</w:t>
      </w:r>
    </w:p>
  </w:footnote>
  <w:footnote w:id="24">
    <w:p w14:paraId="44CA2002" w14:textId="77777777" w:rsidR="00766FF5" w:rsidRPr="00A800E0" w:rsidRDefault="00766FF5" w:rsidP="00766FF5">
      <w:pPr>
        <w:pStyle w:val="FootnoteText"/>
      </w:pPr>
      <w:r w:rsidRPr="00A800E0">
        <w:tab/>
      </w:r>
      <w:r w:rsidRPr="00A800E0">
        <w:rPr>
          <w:rStyle w:val="FootnoteReference"/>
        </w:rPr>
        <w:footnoteRef/>
      </w:r>
      <w:r w:rsidRPr="00A800E0">
        <w:tab/>
        <w:t>General comment No. 4 (2016), para. 51.</w:t>
      </w:r>
    </w:p>
  </w:footnote>
  <w:footnote w:id="25">
    <w:p w14:paraId="193ACC30" w14:textId="77777777" w:rsidR="00766FF5" w:rsidRPr="00A800E0" w:rsidRDefault="00766FF5" w:rsidP="00766FF5">
      <w:pPr>
        <w:pStyle w:val="FootnoteText"/>
      </w:pPr>
      <w:r w:rsidRPr="00A800E0">
        <w:tab/>
      </w:r>
      <w:r w:rsidRPr="00A800E0">
        <w:rPr>
          <w:rStyle w:val="FootnoteReference"/>
        </w:rPr>
        <w:footnoteRef/>
      </w:r>
      <w:r w:rsidRPr="00A800E0">
        <w:tab/>
        <w:t>Committee on the Elimination of Discrimination against Women, general recommendation No. 27 (2010) , para. 13.</w:t>
      </w:r>
    </w:p>
  </w:footnote>
  <w:footnote w:id="26">
    <w:p w14:paraId="7FB810A5" w14:textId="7BB67450" w:rsidR="00766FF5" w:rsidRPr="00A800E0" w:rsidRDefault="00766FF5" w:rsidP="00766FF5">
      <w:pPr>
        <w:pStyle w:val="FootnoteText"/>
      </w:pPr>
      <w:r w:rsidRPr="00A800E0">
        <w:tab/>
      </w:r>
      <w:r w:rsidRPr="00A800E0">
        <w:rPr>
          <w:rStyle w:val="FootnoteReference"/>
        </w:rPr>
        <w:footnoteRef/>
      </w:r>
      <w:r w:rsidRPr="00A800E0">
        <w:tab/>
      </w:r>
      <w:hyperlink r:id="rId17" w:history="1">
        <w:r w:rsidRPr="00A800E0">
          <w:rPr>
            <w:rStyle w:val="Hyperlink"/>
          </w:rPr>
          <w:t>A/74/186</w:t>
        </w:r>
      </w:hyperlink>
      <w:r w:rsidRPr="00A800E0">
        <w:t>, para. 36.</w:t>
      </w:r>
    </w:p>
  </w:footnote>
  <w:footnote w:id="27">
    <w:p w14:paraId="53638785" w14:textId="219922EA" w:rsidR="00766FF5" w:rsidRPr="00A800E0" w:rsidRDefault="00766FF5" w:rsidP="00766FF5">
      <w:pPr>
        <w:pStyle w:val="FootnoteText"/>
      </w:pPr>
      <w:r w:rsidRPr="00A800E0">
        <w:tab/>
      </w:r>
      <w:r w:rsidRPr="00A800E0">
        <w:rPr>
          <w:rStyle w:val="FootnoteReference"/>
        </w:rPr>
        <w:footnoteRef/>
      </w:r>
      <w:r w:rsidRPr="00A800E0">
        <w:tab/>
      </w:r>
      <w:hyperlink r:id="rId18" w:history="1">
        <w:r w:rsidRPr="00A800E0">
          <w:rPr>
            <w:rStyle w:val="Hyperlink"/>
          </w:rPr>
          <w:t>CRPD/C/PER/CO/2-3</w:t>
        </w:r>
      </w:hyperlink>
      <w:r w:rsidRPr="00A800E0">
        <w:t xml:space="preserve">, para. 26; and </w:t>
      </w:r>
      <w:hyperlink r:id="rId19" w:history="1">
        <w:r w:rsidRPr="00A800E0">
          <w:rPr>
            <w:rStyle w:val="Hyperlink"/>
          </w:rPr>
          <w:t>CRPD/C/AUS/CO/2-3</w:t>
        </w:r>
      </w:hyperlink>
      <w:r w:rsidRPr="00A800E0">
        <w:t>.</w:t>
      </w:r>
    </w:p>
  </w:footnote>
  <w:footnote w:id="28">
    <w:p w14:paraId="2C52E3A4" w14:textId="38D71395" w:rsidR="00766FF5" w:rsidRPr="00A800E0" w:rsidRDefault="00766FF5" w:rsidP="00766FF5">
      <w:pPr>
        <w:pStyle w:val="FootnoteText"/>
      </w:pPr>
      <w:r w:rsidRPr="00A800E0">
        <w:tab/>
      </w:r>
      <w:r w:rsidRPr="00A800E0">
        <w:rPr>
          <w:rStyle w:val="FootnoteReference"/>
        </w:rPr>
        <w:footnoteRef/>
      </w:r>
      <w:r w:rsidRPr="00600D6A">
        <w:rPr>
          <w:lang w:val="es-ES"/>
        </w:rPr>
        <w:tab/>
      </w:r>
      <w:hyperlink r:id="rId20" w:history="1">
        <w:r w:rsidRPr="00600D6A">
          <w:rPr>
            <w:rStyle w:val="Hyperlink"/>
            <w:lang w:val="es-ES"/>
          </w:rPr>
          <w:t>CRPD/C/KAZ/CO/1</w:t>
        </w:r>
      </w:hyperlink>
      <w:r w:rsidRPr="00600D6A">
        <w:rPr>
          <w:lang w:val="es-ES"/>
        </w:rPr>
        <w:t xml:space="preserve">, para. </w:t>
      </w:r>
      <w:r w:rsidRPr="00A800E0">
        <w:t xml:space="preserve">39; </w:t>
      </w:r>
      <w:hyperlink r:id="rId21" w:history="1">
        <w:r w:rsidRPr="00A800E0">
          <w:rPr>
            <w:rStyle w:val="Hyperlink"/>
          </w:rPr>
          <w:t>CRPD/C/27/2</w:t>
        </w:r>
      </w:hyperlink>
      <w:r w:rsidRPr="00A800E0">
        <w:t xml:space="preserve">, paras. 42 and 43; </w:t>
      </w:r>
      <w:hyperlink r:id="rId22" w:history="1">
        <w:r w:rsidRPr="00A800E0">
          <w:rPr>
            <w:rStyle w:val="Hyperlink"/>
          </w:rPr>
          <w:t>CRPD/C/UKR/CO/2-3</w:t>
        </w:r>
      </w:hyperlink>
      <w:r w:rsidRPr="00A800E0">
        <w:t xml:space="preserve">; </w:t>
      </w:r>
      <w:hyperlink r:id="rId23" w:history="1">
        <w:r w:rsidRPr="00A800E0">
          <w:rPr>
            <w:rStyle w:val="Hyperlink"/>
          </w:rPr>
          <w:t>CRPD/C/IRQ/CO/1</w:t>
        </w:r>
      </w:hyperlink>
      <w:r w:rsidRPr="00A800E0">
        <w:t xml:space="preserve">; </w:t>
      </w:r>
      <w:hyperlink r:id="rId24" w:history="1">
        <w:r w:rsidRPr="00A800E0">
          <w:rPr>
            <w:rStyle w:val="Hyperlink"/>
          </w:rPr>
          <w:t>CRPD/C/TUR/CO/1</w:t>
        </w:r>
      </w:hyperlink>
      <w:r w:rsidRPr="00A800E0">
        <w:t xml:space="preserve">; and </w:t>
      </w:r>
      <w:hyperlink r:id="rId25" w:history="1">
        <w:r w:rsidRPr="00A800E0">
          <w:rPr>
            <w:rStyle w:val="Hyperlink"/>
          </w:rPr>
          <w:t>CRPD/C/DJI/CO/1</w:t>
        </w:r>
      </w:hyperlink>
      <w:r w:rsidRPr="00A800E0">
        <w:t>.</w:t>
      </w:r>
    </w:p>
  </w:footnote>
  <w:footnote w:id="29">
    <w:p w14:paraId="02F3DAC1" w14:textId="0297C63B" w:rsidR="00766FF5" w:rsidRPr="00A800E0" w:rsidRDefault="00766FF5" w:rsidP="00766FF5">
      <w:pPr>
        <w:pStyle w:val="FootnoteText"/>
      </w:pPr>
      <w:r w:rsidRPr="00A800E0">
        <w:tab/>
      </w:r>
      <w:r w:rsidRPr="00A800E0">
        <w:rPr>
          <w:rStyle w:val="FootnoteReference"/>
        </w:rPr>
        <w:footnoteRef/>
      </w:r>
      <w:r w:rsidRPr="00A800E0">
        <w:tab/>
      </w:r>
      <w:hyperlink r:id="rId26" w:history="1">
        <w:r w:rsidRPr="00A800E0">
          <w:rPr>
            <w:rStyle w:val="Hyperlink"/>
          </w:rPr>
          <w:t>CRPD/C/27/2</w:t>
        </w:r>
      </w:hyperlink>
      <w:r w:rsidRPr="00A800E0">
        <w:t xml:space="preserve">, paras. 36 and 37; and </w:t>
      </w:r>
      <w:hyperlink r:id="rId27" w:history="1">
        <w:r w:rsidRPr="00A800E0">
          <w:rPr>
            <w:rStyle w:val="Hyperlink"/>
          </w:rPr>
          <w:t>CRPD/C/UKR/CO/2-3</w:t>
        </w:r>
      </w:hyperlink>
      <w:r w:rsidRPr="00A800E0">
        <w:t>, paras. 38 and 39.</w:t>
      </w:r>
    </w:p>
  </w:footnote>
  <w:footnote w:id="30">
    <w:p w14:paraId="601BDF39" w14:textId="6336A128" w:rsidR="00766FF5" w:rsidRPr="00A800E0" w:rsidRDefault="00766FF5" w:rsidP="00766FF5">
      <w:pPr>
        <w:pStyle w:val="FootnoteText"/>
      </w:pPr>
      <w:r w:rsidRPr="00A800E0">
        <w:tab/>
      </w:r>
      <w:r w:rsidRPr="00A800E0">
        <w:rPr>
          <w:rStyle w:val="FootnoteReference"/>
        </w:rPr>
        <w:footnoteRef/>
      </w:r>
      <w:r w:rsidRPr="00A800E0">
        <w:tab/>
        <w:t xml:space="preserve">See </w:t>
      </w:r>
      <w:hyperlink r:id="rId28" w:history="1">
        <w:r w:rsidRPr="00A800E0">
          <w:rPr>
            <w:rStyle w:val="Hyperlink"/>
          </w:rPr>
          <w:t>A/HRC/56/61/Add.3</w:t>
        </w:r>
      </w:hyperlink>
      <w:r w:rsidRPr="00A800E0">
        <w:t xml:space="preserve"> and </w:t>
      </w:r>
      <w:hyperlink r:id="rId29" w:history="1">
        <w:r w:rsidRPr="00A800E0">
          <w:rPr>
            <w:rStyle w:val="Hyperlink"/>
          </w:rPr>
          <w:t>A/HRC/56/61/Add.3/Corr.1</w:t>
        </w:r>
      </w:hyperlink>
      <w:r w:rsidRPr="00A800E0">
        <w:t>.</w:t>
      </w:r>
    </w:p>
  </w:footnote>
  <w:footnote w:id="31">
    <w:p w14:paraId="284F87FE" w14:textId="77777777" w:rsidR="00766FF5" w:rsidRPr="00600D6A" w:rsidRDefault="00766FF5" w:rsidP="00766FF5">
      <w:pPr>
        <w:pStyle w:val="FootnoteText"/>
        <w:rPr>
          <w:lang w:val="es-ES"/>
        </w:rPr>
      </w:pPr>
      <w:r w:rsidRPr="00A800E0">
        <w:tab/>
      </w:r>
      <w:r w:rsidRPr="00A800E0">
        <w:rPr>
          <w:rStyle w:val="FootnoteReference"/>
        </w:rPr>
        <w:footnoteRef/>
      </w:r>
      <w:r w:rsidRPr="00A800E0">
        <w:tab/>
        <w:t xml:space="preserve">Guidelines on deinstitutionalization, including in emergencies, para. </w:t>
      </w:r>
      <w:r w:rsidRPr="00600D6A">
        <w:rPr>
          <w:lang w:val="es-ES"/>
        </w:rPr>
        <w:t>6.</w:t>
      </w:r>
    </w:p>
  </w:footnote>
  <w:footnote w:id="32">
    <w:p w14:paraId="0E20F68A" w14:textId="0126419C" w:rsidR="00766FF5" w:rsidRPr="00600D6A" w:rsidRDefault="00766FF5" w:rsidP="00766FF5">
      <w:pPr>
        <w:pStyle w:val="FootnoteText"/>
        <w:rPr>
          <w:lang w:val="es-ES"/>
        </w:rPr>
      </w:pPr>
      <w:r w:rsidRPr="00600D6A">
        <w:rPr>
          <w:lang w:val="es-ES"/>
        </w:rPr>
        <w:tab/>
      </w:r>
      <w:r w:rsidRPr="00A800E0">
        <w:rPr>
          <w:rStyle w:val="FootnoteReference"/>
        </w:rPr>
        <w:footnoteRef/>
      </w:r>
      <w:r w:rsidRPr="00600D6A">
        <w:rPr>
          <w:lang w:val="es-ES"/>
        </w:rPr>
        <w:tab/>
      </w:r>
      <w:hyperlink r:id="rId30" w:history="1">
        <w:r w:rsidRPr="00600D6A">
          <w:rPr>
            <w:rStyle w:val="Hyperlink"/>
            <w:lang w:val="es-ES"/>
          </w:rPr>
          <w:t>CRPD/C/HUN/IR/1</w:t>
        </w:r>
      </w:hyperlink>
      <w:r w:rsidRPr="00600D6A">
        <w:rPr>
          <w:lang w:val="es-ES"/>
        </w:rPr>
        <w:t>, para. 101.</w:t>
      </w:r>
    </w:p>
  </w:footnote>
  <w:footnote w:id="33">
    <w:p w14:paraId="219EC8C1" w14:textId="6EB4EB12" w:rsidR="00766FF5" w:rsidRPr="00A800E0" w:rsidRDefault="00766FF5" w:rsidP="00766FF5">
      <w:pPr>
        <w:pStyle w:val="FootnoteText"/>
      </w:pPr>
      <w:r w:rsidRPr="00600D6A">
        <w:rPr>
          <w:lang w:val="es-ES"/>
        </w:rPr>
        <w:tab/>
      </w:r>
      <w:r w:rsidRPr="00A800E0">
        <w:rPr>
          <w:rStyle w:val="FootnoteReference"/>
        </w:rPr>
        <w:footnoteRef/>
      </w:r>
      <w:r w:rsidRPr="00600D6A">
        <w:rPr>
          <w:lang w:val="es-ES"/>
        </w:rPr>
        <w:tab/>
      </w:r>
      <w:r w:rsidRPr="00600D6A">
        <w:rPr>
          <w:i/>
          <w:iCs/>
          <w:lang w:val="es-ES"/>
        </w:rPr>
        <w:t>Černáková v. Slovakia</w:t>
      </w:r>
      <w:r w:rsidRPr="00600D6A">
        <w:rPr>
          <w:lang w:val="es-ES"/>
        </w:rPr>
        <w:t xml:space="preserve"> (</w:t>
      </w:r>
      <w:hyperlink r:id="rId31" w:history="1">
        <w:r w:rsidRPr="00600D6A">
          <w:rPr>
            <w:rStyle w:val="Hyperlink"/>
            <w:lang w:val="es-ES"/>
          </w:rPr>
          <w:t>CRPD/C/34/D/78/2020</w:t>
        </w:r>
      </w:hyperlink>
      <w:r w:rsidRPr="00600D6A">
        <w:rPr>
          <w:lang w:val="es-ES"/>
        </w:rPr>
        <w:t xml:space="preserve">), paras. </w:t>
      </w:r>
      <w:r w:rsidRPr="00A800E0">
        <w:t>9.1–9.6 and 10.</w:t>
      </w:r>
    </w:p>
  </w:footnote>
  <w:footnote w:id="34">
    <w:p w14:paraId="63884590" w14:textId="0E23E0E6" w:rsidR="00766FF5" w:rsidRPr="00A800E0" w:rsidRDefault="00766FF5" w:rsidP="00766FF5">
      <w:pPr>
        <w:pStyle w:val="FootnoteText"/>
        <w:rPr>
          <w:szCs w:val="18"/>
        </w:rPr>
      </w:pPr>
      <w:r w:rsidRPr="00A800E0">
        <w:rPr>
          <w:szCs w:val="18"/>
        </w:rPr>
        <w:tab/>
      </w:r>
      <w:r w:rsidRPr="00A800E0">
        <w:rPr>
          <w:rStyle w:val="FootnoteReference"/>
        </w:rPr>
        <w:footnoteRef/>
      </w:r>
      <w:r w:rsidRPr="00A800E0">
        <w:rPr>
          <w:szCs w:val="18"/>
        </w:rPr>
        <w:tab/>
        <w:t xml:space="preserve">European Union Agency for Fundamental Rights, </w:t>
      </w:r>
      <w:r w:rsidRPr="00A800E0">
        <w:rPr>
          <w:i/>
          <w:iCs/>
          <w:szCs w:val="18"/>
        </w:rPr>
        <w:t>Places of Care=Places of Safety? Violence against Persons with Disabilities in Institutions</w:t>
      </w:r>
      <w:r w:rsidRPr="00A800E0">
        <w:rPr>
          <w:szCs w:val="18"/>
        </w:rPr>
        <w:t xml:space="preserve"> (2025), p. 15.</w:t>
      </w:r>
    </w:p>
  </w:footnote>
  <w:footnote w:id="35">
    <w:p w14:paraId="7DE1A104" w14:textId="36A525C8" w:rsidR="00766FF5" w:rsidRPr="00A800E0" w:rsidRDefault="00766FF5" w:rsidP="00766FF5">
      <w:pPr>
        <w:pStyle w:val="FootnoteText"/>
      </w:pPr>
      <w:r w:rsidRPr="00A800E0">
        <w:tab/>
      </w:r>
      <w:r w:rsidRPr="00A800E0">
        <w:rPr>
          <w:rStyle w:val="FootnoteReference"/>
        </w:rPr>
        <w:footnoteRef/>
      </w:r>
      <w:r w:rsidRPr="00A800E0">
        <w:tab/>
        <w:t>Guidelines on the right to liberty and security of persons with disabilities, para. 12</w:t>
      </w:r>
      <w:r w:rsidR="0008680F">
        <w:t>.</w:t>
      </w:r>
    </w:p>
  </w:footnote>
  <w:footnote w:id="36">
    <w:p w14:paraId="53EB1262" w14:textId="2232C507" w:rsidR="00766FF5" w:rsidRPr="00600D6A" w:rsidRDefault="00766FF5" w:rsidP="00766FF5">
      <w:pPr>
        <w:pStyle w:val="FootnoteText"/>
        <w:rPr>
          <w:lang w:val="es-ES"/>
        </w:rPr>
      </w:pPr>
      <w:r w:rsidRPr="00A800E0">
        <w:tab/>
      </w:r>
      <w:r w:rsidRPr="00A800E0">
        <w:rPr>
          <w:rStyle w:val="FootnoteReference"/>
        </w:rPr>
        <w:footnoteRef/>
      </w:r>
      <w:r w:rsidRPr="00A800E0">
        <w:tab/>
      </w:r>
      <w:hyperlink r:id="rId32" w:history="1">
        <w:r w:rsidRPr="00A800E0">
          <w:rPr>
            <w:rStyle w:val="Hyperlink"/>
          </w:rPr>
          <w:t>CRPD/C/HUN/CO/2-3</w:t>
        </w:r>
      </w:hyperlink>
      <w:r w:rsidRPr="00A800E0">
        <w:t xml:space="preserve">, paras. 31–34; and </w:t>
      </w:r>
      <w:hyperlink r:id="rId33" w:history="1">
        <w:r w:rsidRPr="00A800E0">
          <w:rPr>
            <w:rStyle w:val="Hyperlink"/>
          </w:rPr>
          <w:t>CRPD/C/BGR/CO/1</w:t>
        </w:r>
      </w:hyperlink>
      <w:r w:rsidRPr="00A800E0">
        <w:t xml:space="preserve">, para. </w:t>
      </w:r>
      <w:r w:rsidRPr="00600D6A">
        <w:rPr>
          <w:lang w:val="es-ES"/>
        </w:rPr>
        <w:t>35.</w:t>
      </w:r>
    </w:p>
  </w:footnote>
  <w:footnote w:id="37">
    <w:p w14:paraId="7C2D2439" w14:textId="2897BC1A" w:rsidR="00766FF5" w:rsidRPr="00A800E0" w:rsidRDefault="00766FF5" w:rsidP="00766FF5">
      <w:pPr>
        <w:pStyle w:val="FootnoteText"/>
      </w:pPr>
      <w:r w:rsidRPr="00600D6A">
        <w:rPr>
          <w:lang w:val="es-ES"/>
        </w:rPr>
        <w:tab/>
      </w:r>
      <w:r w:rsidRPr="00A800E0">
        <w:rPr>
          <w:rStyle w:val="FootnoteReference"/>
        </w:rPr>
        <w:footnoteRef/>
      </w:r>
      <w:r w:rsidRPr="00600D6A">
        <w:rPr>
          <w:lang w:val="es-ES"/>
        </w:rPr>
        <w:tab/>
      </w:r>
      <w:hyperlink r:id="rId34" w:history="1">
        <w:r w:rsidRPr="00600D6A">
          <w:rPr>
            <w:rStyle w:val="Hyperlink"/>
            <w:lang w:val="es-ES"/>
          </w:rPr>
          <w:t>CRPD/C/MEX/IR/1</w:t>
        </w:r>
      </w:hyperlink>
      <w:r w:rsidRPr="00600D6A">
        <w:rPr>
          <w:lang w:val="es-ES"/>
        </w:rPr>
        <w:t xml:space="preserve">, para. 22; </w:t>
      </w:r>
      <w:hyperlink r:id="rId35" w:history="1">
        <w:r w:rsidRPr="00600D6A">
          <w:rPr>
            <w:rStyle w:val="Hyperlink"/>
            <w:lang w:val="es-ES"/>
          </w:rPr>
          <w:t>CRPD/C/KAZ/CO/1</w:t>
        </w:r>
      </w:hyperlink>
      <w:r w:rsidRPr="00600D6A">
        <w:rPr>
          <w:lang w:val="es-ES"/>
        </w:rPr>
        <w:t xml:space="preserve">, para. </w:t>
      </w:r>
      <w:r w:rsidRPr="00A800E0">
        <w:t>33; and guidelines on the right to liberty and security of persons with disabilities, paras. 17 and 18.</w:t>
      </w:r>
    </w:p>
  </w:footnote>
  <w:footnote w:id="38">
    <w:p w14:paraId="6AD38AC0" w14:textId="3B627B29" w:rsidR="00766FF5" w:rsidRPr="00A800E0" w:rsidRDefault="00766FF5" w:rsidP="00766FF5">
      <w:pPr>
        <w:pStyle w:val="FootnoteText"/>
      </w:pPr>
      <w:r w:rsidRPr="00A800E0">
        <w:tab/>
      </w:r>
      <w:r w:rsidRPr="00A800E0">
        <w:rPr>
          <w:rStyle w:val="FootnoteReference"/>
        </w:rPr>
        <w:footnoteRef/>
      </w:r>
      <w:r w:rsidRPr="00A800E0">
        <w:tab/>
      </w:r>
      <w:r w:rsidRPr="00A800E0">
        <w:rPr>
          <w:i/>
          <w:iCs/>
        </w:rPr>
        <w:t xml:space="preserve">X v. United Republic of Tanzania </w:t>
      </w:r>
      <w:r w:rsidRPr="00A800E0">
        <w:t>(</w:t>
      </w:r>
      <w:hyperlink r:id="rId36" w:history="1">
        <w:r w:rsidRPr="00A800E0">
          <w:rPr>
            <w:rStyle w:val="Hyperlink"/>
          </w:rPr>
          <w:t>CRPD/C/18/D/22/2014</w:t>
        </w:r>
      </w:hyperlink>
      <w:r w:rsidRPr="00A800E0">
        <w:t>), para. 8.6.</w:t>
      </w:r>
    </w:p>
  </w:footnote>
  <w:footnote w:id="39">
    <w:p w14:paraId="507EE541" w14:textId="1C0B2B0D" w:rsidR="00766FF5" w:rsidRPr="00A800E0" w:rsidRDefault="00766FF5" w:rsidP="00766FF5">
      <w:pPr>
        <w:pStyle w:val="FootnoteText"/>
      </w:pPr>
      <w:r w:rsidRPr="00A800E0">
        <w:tab/>
      </w:r>
      <w:r w:rsidRPr="00A800E0">
        <w:rPr>
          <w:rStyle w:val="FootnoteReference"/>
        </w:rPr>
        <w:footnoteRef/>
      </w:r>
      <w:r w:rsidRPr="00A800E0">
        <w:tab/>
      </w:r>
      <w:r w:rsidRPr="00A800E0">
        <w:rPr>
          <w:i/>
          <w:iCs/>
        </w:rPr>
        <w:t>Noble v. Australia</w:t>
      </w:r>
      <w:r w:rsidRPr="00A800E0">
        <w:t xml:space="preserve"> (</w:t>
      </w:r>
      <w:hyperlink r:id="rId37" w:history="1">
        <w:r w:rsidRPr="00A800E0">
          <w:rPr>
            <w:rStyle w:val="Hyperlink"/>
          </w:rPr>
          <w:t>CRPD/C/16/D/7/2012</w:t>
        </w:r>
      </w:hyperlink>
      <w:r w:rsidRPr="00A800E0">
        <w:t>), paras. 8.9 and 8.10.</w:t>
      </w:r>
    </w:p>
  </w:footnote>
  <w:footnote w:id="40">
    <w:p w14:paraId="2F2DD20B" w14:textId="77777777" w:rsidR="00766FF5" w:rsidRPr="00600D6A" w:rsidRDefault="00766FF5" w:rsidP="00766FF5">
      <w:pPr>
        <w:pStyle w:val="FootnoteText"/>
        <w:rPr>
          <w:lang w:val="es-ES"/>
        </w:rPr>
      </w:pPr>
      <w:r w:rsidRPr="00A800E0">
        <w:tab/>
      </w:r>
      <w:r w:rsidRPr="00A800E0">
        <w:rPr>
          <w:rStyle w:val="FootnoteReference"/>
        </w:rPr>
        <w:footnoteRef/>
      </w:r>
      <w:r w:rsidRPr="00A800E0">
        <w:tab/>
        <w:t xml:space="preserve">Guidelines on the right to liberty and security of persons with disabilities, para. </w:t>
      </w:r>
      <w:r w:rsidRPr="00600D6A">
        <w:rPr>
          <w:lang w:val="es-ES"/>
        </w:rPr>
        <w:t>18.</w:t>
      </w:r>
    </w:p>
  </w:footnote>
  <w:footnote w:id="41">
    <w:p w14:paraId="0BDFCB43" w14:textId="4D313035" w:rsidR="00766FF5" w:rsidRPr="00600D6A" w:rsidRDefault="00766FF5" w:rsidP="00766FF5">
      <w:pPr>
        <w:pStyle w:val="FootnoteText"/>
        <w:rPr>
          <w:lang w:val="es-ES"/>
        </w:rPr>
      </w:pPr>
      <w:r w:rsidRPr="00600D6A">
        <w:rPr>
          <w:lang w:val="es-ES"/>
        </w:rPr>
        <w:tab/>
      </w:r>
      <w:r w:rsidRPr="00A800E0">
        <w:rPr>
          <w:rStyle w:val="FootnoteReference"/>
        </w:rPr>
        <w:footnoteRef/>
      </w:r>
      <w:r w:rsidRPr="00600D6A">
        <w:rPr>
          <w:lang w:val="es-ES"/>
        </w:rPr>
        <w:tab/>
      </w:r>
      <w:hyperlink r:id="rId38" w:history="1">
        <w:r w:rsidRPr="00600D6A">
          <w:rPr>
            <w:rStyle w:val="Hyperlink"/>
            <w:lang w:val="es-ES"/>
          </w:rPr>
          <w:t>A/63/175</w:t>
        </w:r>
      </w:hyperlink>
      <w:r w:rsidRPr="00600D6A">
        <w:rPr>
          <w:lang w:val="es-ES"/>
        </w:rPr>
        <w:t xml:space="preserve">, paras. 40 and 47; and </w:t>
      </w:r>
      <w:hyperlink r:id="rId39" w:history="1">
        <w:r w:rsidRPr="00600D6A">
          <w:rPr>
            <w:rStyle w:val="Hyperlink"/>
            <w:lang w:val="es-ES"/>
          </w:rPr>
          <w:t>A/HRC/43/49</w:t>
        </w:r>
      </w:hyperlink>
      <w:r w:rsidRPr="00600D6A">
        <w:rPr>
          <w:lang w:val="es-ES"/>
        </w:rPr>
        <w:t>, para. 37.</w:t>
      </w:r>
    </w:p>
  </w:footnote>
  <w:footnote w:id="42">
    <w:p w14:paraId="238585F5" w14:textId="28790F6C" w:rsidR="00766FF5" w:rsidRPr="00600D6A" w:rsidRDefault="00766FF5" w:rsidP="00766FF5">
      <w:pPr>
        <w:pStyle w:val="FootnoteText"/>
        <w:rPr>
          <w:lang w:val="es-ES"/>
        </w:rPr>
      </w:pPr>
      <w:r w:rsidRPr="00600D6A">
        <w:rPr>
          <w:lang w:val="es-ES"/>
        </w:rPr>
        <w:tab/>
      </w:r>
      <w:r w:rsidRPr="00A800E0">
        <w:rPr>
          <w:rStyle w:val="FootnoteReference"/>
        </w:rPr>
        <w:footnoteRef/>
      </w:r>
      <w:r w:rsidRPr="00600D6A">
        <w:rPr>
          <w:lang w:val="es-ES"/>
        </w:rPr>
        <w:tab/>
      </w:r>
      <w:hyperlink r:id="rId40" w:history="1">
        <w:r w:rsidRPr="00600D6A">
          <w:rPr>
            <w:rStyle w:val="Hyperlink"/>
            <w:lang w:val="es-ES"/>
          </w:rPr>
          <w:t>CRPD/C/CRI/CO/1</w:t>
        </w:r>
      </w:hyperlink>
      <w:r w:rsidRPr="00600D6A">
        <w:rPr>
          <w:lang w:val="es-ES"/>
        </w:rPr>
        <w:t>, para. 31.</w:t>
      </w:r>
    </w:p>
  </w:footnote>
  <w:footnote w:id="43">
    <w:p w14:paraId="5470DFD2" w14:textId="5210CDC5" w:rsidR="00766FF5" w:rsidRPr="00A800E0" w:rsidRDefault="00766FF5" w:rsidP="00766FF5">
      <w:pPr>
        <w:pStyle w:val="FootnoteText"/>
      </w:pPr>
      <w:r w:rsidRPr="00600D6A">
        <w:rPr>
          <w:lang w:val="es-ES"/>
        </w:rPr>
        <w:tab/>
      </w:r>
      <w:r w:rsidRPr="00A800E0">
        <w:rPr>
          <w:rStyle w:val="FootnoteReference"/>
        </w:rPr>
        <w:footnoteRef/>
      </w:r>
      <w:r w:rsidRPr="00600D6A">
        <w:rPr>
          <w:lang w:val="es-ES"/>
        </w:rPr>
        <w:tab/>
      </w:r>
      <w:hyperlink r:id="rId41" w:history="1">
        <w:r w:rsidRPr="00600D6A">
          <w:rPr>
            <w:rStyle w:val="Hyperlink"/>
            <w:lang w:val="es-ES"/>
          </w:rPr>
          <w:t>CRPD/C/DEU/CO/2-3</w:t>
        </w:r>
      </w:hyperlink>
      <w:r w:rsidRPr="00600D6A">
        <w:rPr>
          <w:lang w:val="es-ES"/>
        </w:rPr>
        <w:t xml:space="preserve">, para. </w:t>
      </w:r>
      <w:r w:rsidRPr="00A800E0">
        <w:t xml:space="preserve">39; and </w:t>
      </w:r>
      <w:hyperlink r:id="rId42" w:history="1">
        <w:r w:rsidRPr="00A800E0">
          <w:rPr>
            <w:rStyle w:val="Hyperlink"/>
          </w:rPr>
          <w:t>CRPD/C/AUS/CO/2-3</w:t>
        </w:r>
      </w:hyperlink>
      <w:r w:rsidRPr="00A800E0">
        <w:t>, para. 33 (b).</w:t>
      </w:r>
    </w:p>
  </w:footnote>
  <w:footnote w:id="44">
    <w:p w14:paraId="094750A3" w14:textId="550CB7B4" w:rsidR="00766FF5" w:rsidRPr="00A800E0" w:rsidRDefault="00766FF5" w:rsidP="00766FF5">
      <w:pPr>
        <w:pStyle w:val="FootnoteText"/>
      </w:pPr>
      <w:r w:rsidRPr="00A800E0">
        <w:tab/>
      </w:r>
      <w:r w:rsidRPr="00A800E0">
        <w:rPr>
          <w:rStyle w:val="FootnoteReference"/>
        </w:rPr>
        <w:footnoteRef/>
      </w:r>
      <w:r w:rsidRPr="00A800E0">
        <w:tab/>
      </w:r>
      <w:hyperlink r:id="rId43" w:history="1">
        <w:r w:rsidRPr="00A800E0">
          <w:rPr>
            <w:rStyle w:val="Hyperlink"/>
          </w:rPr>
          <w:t>CRPD/C/ISR/CO/1</w:t>
        </w:r>
      </w:hyperlink>
      <w:r w:rsidRPr="00A800E0">
        <w:t>, paras. 21 and 22.</w:t>
      </w:r>
    </w:p>
  </w:footnote>
  <w:footnote w:id="45">
    <w:p w14:paraId="0FED2C6C" w14:textId="7719E81A" w:rsidR="00766FF5" w:rsidRPr="00A800E0" w:rsidRDefault="00766FF5" w:rsidP="00766FF5">
      <w:pPr>
        <w:pStyle w:val="FootnoteText"/>
      </w:pPr>
      <w:r w:rsidRPr="00A800E0">
        <w:tab/>
      </w:r>
      <w:r w:rsidRPr="00A800E0">
        <w:rPr>
          <w:rStyle w:val="FootnoteReference"/>
        </w:rPr>
        <w:footnoteRef/>
      </w:r>
      <w:r w:rsidRPr="00A800E0">
        <w:tab/>
      </w:r>
      <w:hyperlink r:id="rId44" w:history="1">
        <w:r w:rsidRPr="00A800E0">
          <w:rPr>
            <w:rStyle w:val="Hyperlink"/>
          </w:rPr>
          <w:t>A/HRC/56/61/Add.3</w:t>
        </w:r>
      </w:hyperlink>
      <w:r w:rsidRPr="00A800E0">
        <w:t xml:space="preserve"> and </w:t>
      </w:r>
      <w:hyperlink r:id="rId45" w:history="1">
        <w:r w:rsidRPr="00A800E0">
          <w:rPr>
            <w:rStyle w:val="Hyperlink"/>
          </w:rPr>
          <w:t>A/HRC/56/61/Add.3/Corr.1</w:t>
        </w:r>
      </w:hyperlink>
      <w:r w:rsidRPr="00A800E0">
        <w:t>, paras. 10 and 26.</w:t>
      </w:r>
    </w:p>
  </w:footnote>
  <w:footnote w:id="46">
    <w:p w14:paraId="18CDEF59" w14:textId="055268EF" w:rsidR="00766FF5" w:rsidRPr="00A800E0" w:rsidRDefault="00766FF5" w:rsidP="00766FF5">
      <w:pPr>
        <w:pStyle w:val="FootnoteText"/>
        <w:rPr>
          <w:color w:val="000000"/>
          <w:szCs w:val="18"/>
        </w:rPr>
      </w:pPr>
      <w:r w:rsidRPr="00A800E0">
        <w:rPr>
          <w:color w:val="000000"/>
          <w:sz w:val="20"/>
        </w:rPr>
        <w:tab/>
      </w:r>
      <w:r w:rsidRPr="00A800E0">
        <w:rPr>
          <w:vertAlign w:val="superscript"/>
        </w:rPr>
        <w:footnoteRef/>
      </w:r>
      <w:r w:rsidRPr="00A800E0">
        <w:rPr>
          <w:color w:val="000000"/>
          <w:sz w:val="20"/>
        </w:rPr>
        <w:tab/>
      </w:r>
      <w:hyperlink r:id="rId46" w:history="1">
        <w:r w:rsidRPr="00A800E0">
          <w:rPr>
            <w:rStyle w:val="Hyperlink"/>
          </w:rPr>
          <w:t>CR</w:t>
        </w:r>
        <w:r w:rsidRPr="00A800E0">
          <w:rPr>
            <w:rStyle w:val="Hyperlink"/>
            <w:szCs w:val="18"/>
          </w:rPr>
          <w:t>PD</w:t>
        </w:r>
        <w:r w:rsidRPr="00A800E0">
          <w:rPr>
            <w:rStyle w:val="Hyperlink"/>
          </w:rPr>
          <w:t>/C/MEX/IR/1</w:t>
        </w:r>
      </w:hyperlink>
      <w:r w:rsidRPr="00A800E0">
        <w:rPr>
          <w:color w:val="000000"/>
          <w:szCs w:val="18"/>
        </w:rPr>
        <w:t>, paras. 15 and 16; and https://tbinternet.ohchr.org/_layouts/15/treatybodyexternal/Download.aspx?symbolno=CRPD%2FC%2FMEX%2FIR%2FCRP%2FR.1&amp;Lang=en, paras. 71, 73 and 107.</w:t>
      </w:r>
    </w:p>
  </w:footnote>
  <w:footnote w:id="47">
    <w:p w14:paraId="2F63E114" w14:textId="1868C201" w:rsidR="00766FF5" w:rsidRPr="00A800E0" w:rsidRDefault="00766FF5" w:rsidP="00766FF5">
      <w:pPr>
        <w:pStyle w:val="FootnoteText"/>
        <w:rPr>
          <w:szCs w:val="18"/>
        </w:rPr>
      </w:pPr>
      <w:r w:rsidRPr="00A800E0">
        <w:tab/>
      </w:r>
      <w:r w:rsidRPr="00A800E0">
        <w:rPr>
          <w:rStyle w:val="FootnoteReference"/>
        </w:rPr>
        <w:footnoteRef/>
      </w:r>
      <w:r w:rsidRPr="00A800E0">
        <w:tab/>
        <w:t>See https://www.ohchr.org/sites/default/files/documents/countries/myanmar/A-HRC-61-CRP-1-en.pdf;</w:t>
      </w:r>
      <w:hyperlink r:id="rId47" w:history="1">
        <w:r w:rsidRPr="00A800E0">
          <w:rPr>
            <w:rStyle w:val="Hyperlink"/>
          </w:rPr>
          <w:t xml:space="preserve"> </w:t>
        </w:r>
      </w:hyperlink>
      <w:hyperlink r:id="rId48" w:history="1">
        <w:r w:rsidRPr="00A800E0">
          <w:rPr>
            <w:rStyle w:val="Hyperlink"/>
          </w:rPr>
          <w:t>CRPD/C/33/2</w:t>
        </w:r>
      </w:hyperlink>
      <w:r w:rsidRPr="00A800E0">
        <w:rPr>
          <w:color w:val="000000"/>
        </w:rPr>
        <w:t xml:space="preserve">, annex IV; </w:t>
      </w:r>
      <w:hyperlink r:id="rId49" w:history="1">
        <w:r w:rsidRPr="00A800E0">
          <w:rPr>
            <w:rStyle w:val="Hyperlink"/>
          </w:rPr>
          <w:t>CRPD/C/27/2</w:t>
        </w:r>
      </w:hyperlink>
      <w:r w:rsidRPr="00A800E0">
        <w:rPr>
          <w:szCs w:val="18"/>
        </w:rPr>
        <w:t xml:space="preserve">; and </w:t>
      </w:r>
      <w:hyperlink r:id="rId50" w:history="1">
        <w:r w:rsidRPr="00A800E0">
          <w:rPr>
            <w:rStyle w:val="Hyperlink"/>
            <w:szCs w:val="18"/>
          </w:rPr>
          <w:t>CRPD/C/CYP/CO/1</w:t>
        </w:r>
      </w:hyperlink>
      <w:r w:rsidRPr="00A800E0">
        <w:rPr>
          <w:szCs w:val="18"/>
        </w:rPr>
        <w:t>.</w:t>
      </w:r>
    </w:p>
  </w:footnote>
  <w:footnote w:id="48">
    <w:p w14:paraId="25BE9B80" w14:textId="66CDFEF5" w:rsidR="00766FF5" w:rsidRPr="00A800E0" w:rsidRDefault="00766FF5" w:rsidP="00766FF5">
      <w:pPr>
        <w:pStyle w:val="FootnoteText"/>
        <w:rPr>
          <w:color w:val="000000"/>
          <w:sz w:val="20"/>
        </w:rPr>
      </w:pPr>
      <w:r w:rsidRPr="00A800E0">
        <w:rPr>
          <w:color w:val="000000"/>
          <w:szCs w:val="18"/>
        </w:rPr>
        <w:tab/>
      </w:r>
      <w:r w:rsidRPr="00A800E0">
        <w:rPr>
          <w:szCs w:val="18"/>
          <w:vertAlign w:val="superscript"/>
        </w:rPr>
        <w:footnoteRef/>
      </w:r>
      <w:r w:rsidRPr="00A800E0">
        <w:rPr>
          <w:color w:val="000000"/>
          <w:szCs w:val="18"/>
        </w:rPr>
        <w:tab/>
        <w:t xml:space="preserve">See </w:t>
      </w:r>
      <w:hyperlink r:id="rId51" w:history="1">
        <w:r w:rsidRPr="00A800E0">
          <w:rPr>
            <w:rStyle w:val="Hyperlink"/>
          </w:rPr>
          <w:t>A/HRC/57/22</w:t>
        </w:r>
      </w:hyperlink>
      <w:r w:rsidRPr="00A800E0">
        <w:rPr>
          <w:color w:val="000000"/>
          <w:szCs w:val="18"/>
        </w:rPr>
        <w:t xml:space="preserve">; </w:t>
      </w:r>
      <w:hyperlink r:id="rId52" w:history="1">
        <w:r w:rsidRPr="00A800E0">
          <w:rPr>
            <w:rStyle w:val="Hyperlink"/>
            <w:szCs w:val="18"/>
          </w:rPr>
          <w:t>CRPD/C/33/2</w:t>
        </w:r>
      </w:hyperlink>
      <w:r w:rsidRPr="00A800E0">
        <w:rPr>
          <w:color w:val="000000"/>
          <w:szCs w:val="18"/>
        </w:rPr>
        <w:t xml:space="preserve">, annex IV; </w:t>
      </w:r>
      <w:hyperlink r:id="rId53" w:history="1">
        <w:r w:rsidRPr="00A800E0">
          <w:rPr>
            <w:rStyle w:val="Hyperlink"/>
            <w:szCs w:val="18"/>
          </w:rPr>
          <w:t>CRPD/C/27/2</w:t>
        </w:r>
      </w:hyperlink>
      <w:r w:rsidRPr="00A800E0">
        <w:rPr>
          <w:color w:val="000000"/>
          <w:szCs w:val="18"/>
        </w:rPr>
        <w:t xml:space="preserve">; and </w:t>
      </w:r>
      <w:hyperlink r:id="rId54" w:history="1">
        <w:r w:rsidRPr="00A800E0">
          <w:rPr>
            <w:rStyle w:val="Hyperlink"/>
            <w:szCs w:val="18"/>
          </w:rPr>
          <w:t>CRPD/C/COL/CO/1</w:t>
        </w:r>
      </w:hyperlink>
      <w:r w:rsidRPr="00A800E0">
        <w:rPr>
          <w:color w:val="000000"/>
          <w:szCs w:val="18"/>
        </w:rPr>
        <w:t>.</w:t>
      </w:r>
    </w:p>
  </w:footnote>
  <w:footnote w:id="49">
    <w:p w14:paraId="1C60522C" w14:textId="10C4026F" w:rsidR="00766FF5" w:rsidRPr="00A800E0" w:rsidRDefault="00766FF5" w:rsidP="00766FF5">
      <w:pPr>
        <w:pStyle w:val="FootnoteText"/>
        <w:rPr>
          <w:szCs w:val="18"/>
        </w:rPr>
      </w:pPr>
      <w:r w:rsidRPr="00A800E0">
        <w:rPr>
          <w:szCs w:val="18"/>
        </w:rPr>
        <w:tab/>
      </w:r>
      <w:r w:rsidRPr="00A800E0">
        <w:rPr>
          <w:rStyle w:val="FootnoteReference"/>
          <w:szCs w:val="18"/>
        </w:rPr>
        <w:footnoteRef/>
      </w:r>
      <w:r w:rsidRPr="00A800E0">
        <w:rPr>
          <w:szCs w:val="18"/>
        </w:rPr>
        <w:tab/>
        <w:t xml:space="preserve">See </w:t>
      </w:r>
      <w:hyperlink r:id="rId55" w:history="1">
        <w:r w:rsidRPr="00A800E0">
          <w:rPr>
            <w:rStyle w:val="Hyperlink"/>
            <w:szCs w:val="18"/>
          </w:rPr>
          <w:t>CRPD/C/TUV/CO/1</w:t>
        </w:r>
      </w:hyperlink>
      <w:r w:rsidRPr="00A800E0">
        <w:rPr>
          <w:szCs w:val="18"/>
        </w:rPr>
        <w:t xml:space="preserve">, </w:t>
      </w:r>
      <w:hyperlink r:id="rId56" w:history="1">
        <w:r w:rsidRPr="00A800E0">
          <w:rPr>
            <w:rStyle w:val="Hyperlink"/>
            <w:szCs w:val="18"/>
          </w:rPr>
          <w:t>CRPD/C/PLW/CO/1</w:t>
        </w:r>
      </w:hyperlink>
      <w:r w:rsidRPr="00A800E0">
        <w:rPr>
          <w:szCs w:val="18"/>
        </w:rPr>
        <w:t xml:space="preserve">, </w:t>
      </w:r>
      <w:hyperlink r:id="rId57" w:history="1">
        <w:r w:rsidRPr="00A800E0">
          <w:rPr>
            <w:rStyle w:val="Hyperlink"/>
            <w:szCs w:val="18"/>
          </w:rPr>
          <w:t>CRPD/C/MDV/CO/1</w:t>
        </w:r>
      </w:hyperlink>
      <w:r w:rsidRPr="00A800E0">
        <w:rPr>
          <w:szCs w:val="18"/>
        </w:rPr>
        <w:t xml:space="preserve"> and </w:t>
      </w:r>
      <w:hyperlink r:id="rId58" w:history="1">
        <w:r w:rsidRPr="00A800E0">
          <w:rPr>
            <w:rStyle w:val="Hyperlink"/>
            <w:szCs w:val="18"/>
          </w:rPr>
          <w:t>CRPD/C/CAN/CO/2-3</w:t>
        </w:r>
      </w:hyperlink>
      <w:r w:rsidRPr="00A800E0">
        <w:rPr>
          <w:szCs w:val="18"/>
        </w:rPr>
        <w:t>.</w:t>
      </w:r>
    </w:p>
  </w:footnote>
  <w:footnote w:id="50">
    <w:p w14:paraId="363D1F34" w14:textId="15F7B3C0" w:rsidR="00766FF5" w:rsidRPr="00A800E0" w:rsidRDefault="00766FF5" w:rsidP="00766FF5">
      <w:pPr>
        <w:pStyle w:val="FootnoteText"/>
        <w:rPr>
          <w:color w:val="000000"/>
          <w:szCs w:val="18"/>
        </w:rPr>
      </w:pPr>
      <w:r w:rsidRPr="00A800E0">
        <w:rPr>
          <w:color w:val="000000"/>
          <w:sz w:val="20"/>
        </w:rPr>
        <w:tab/>
      </w:r>
      <w:r w:rsidRPr="00A800E0">
        <w:rPr>
          <w:vertAlign w:val="superscript"/>
        </w:rPr>
        <w:footnoteRef/>
      </w:r>
      <w:r w:rsidRPr="00A800E0">
        <w:rPr>
          <w:color w:val="000000"/>
          <w:sz w:val="20"/>
        </w:rPr>
        <w:tab/>
      </w:r>
      <w:r w:rsidRPr="00A800E0">
        <w:t>International Criminal Court, Rules of</w:t>
      </w:r>
      <w:r w:rsidRPr="00A800E0">
        <w:rPr>
          <w:color w:val="000000"/>
          <w:szCs w:val="18"/>
        </w:rPr>
        <w:t xml:space="preserve"> Procedure and Evidence, rule 145 (2) (b) (iii) and (v).</w:t>
      </w:r>
    </w:p>
  </w:footnote>
  <w:footnote w:id="51">
    <w:p w14:paraId="61E2D0BA" w14:textId="5AB78FCF" w:rsidR="00766FF5" w:rsidRPr="00A800E0" w:rsidRDefault="00766FF5" w:rsidP="00766FF5">
      <w:pPr>
        <w:pStyle w:val="FootnoteText"/>
        <w:rPr>
          <w:color w:val="000000"/>
          <w:szCs w:val="18"/>
        </w:rPr>
      </w:pPr>
      <w:r w:rsidRPr="00A800E0">
        <w:rPr>
          <w:color w:val="000000"/>
          <w:szCs w:val="18"/>
        </w:rPr>
        <w:tab/>
      </w:r>
      <w:r w:rsidRPr="00A800E0">
        <w:rPr>
          <w:szCs w:val="18"/>
          <w:vertAlign w:val="superscript"/>
        </w:rPr>
        <w:footnoteRef/>
      </w:r>
      <w:r w:rsidRPr="00A800E0">
        <w:rPr>
          <w:color w:val="000000"/>
          <w:szCs w:val="18"/>
        </w:rPr>
        <w:tab/>
      </w:r>
      <w:r w:rsidRPr="00A800E0">
        <w:t xml:space="preserve">See </w:t>
      </w:r>
      <w:hyperlink r:id="rId59" w:history="1">
        <w:r w:rsidRPr="00A800E0">
          <w:rPr>
            <w:rStyle w:val="Hyperlink"/>
          </w:rPr>
          <w:t>A/HRC/61/58</w:t>
        </w:r>
      </w:hyperlink>
      <w:r w:rsidRPr="00A800E0">
        <w:t xml:space="preserve"> and</w:t>
      </w:r>
      <w:r w:rsidRPr="00A800E0">
        <w:rPr>
          <w:color w:val="000000"/>
          <w:szCs w:val="18"/>
        </w:rPr>
        <w:t xml:space="preserve"> </w:t>
      </w:r>
      <w:r w:rsidRPr="00A800E0">
        <w:t>https://www.ohchr.org/sites/default/files/documents/countries/myanmar/A-HRC-61-CRP-1-en.pdf</w:t>
      </w:r>
      <w:r w:rsidRPr="00A800E0">
        <w:rPr>
          <w:color w:val="000000"/>
          <w:szCs w:val="18"/>
        </w:rPr>
        <w:t>.</w:t>
      </w:r>
    </w:p>
  </w:footnote>
  <w:footnote w:id="52">
    <w:p w14:paraId="556E4A4F" w14:textId="77777777" w:rsidR="00766FF5" w:rsidRPr="00A800E0" w:rsidRDefault="00766FF5" w:rsidP="00766FF5">
      <w:pPr>
        <w:pStyle w:val="FootnoteText"/>
      </w:pPr>
      <w:r w:rsidRPr="00A800E0">
        <w:rPr>
          <w:szCs w:val="18"/>
        </w:rPr>
        <w:tab/>
      </w:r>
      <w:r w:rsidRPr="00A800E0">
        <w:rPr>
          <w:rStyle w:val="FootnoteReference"/>
          <w:szCs w:val="18"/>
        </w:rPr>
        <w:footnoteRef/>
      </w:r>
      <w:r w:rsidRPr="00A800E0">
        <w:rPr>
          <w:szCs w:val="18"/>
        </w:rPr>
        <w:tab/>
        <w:t>See General Assembly resolution 79/122</w:t>
      </w:r>
      <w:r w:rsidRPr="00A800E0">
        <w:t>.</w:t>
      </w:r>
    </w:p>
  </w:footnote>
  <w:footnote w:id="53">
    <w:p w14:paraId="03259145" w14:textId="765CB9A1" w:rsidR="00766FF5" w:rsidRPr="00A800E0" w:rsidRDefault="00766FF5" w:rsidP="00766FF5">
      <w:pPr>
        <w:pStyle w:val="FootnoteText"/>
      </w:pPr>
      <w:r w:rsidRPr="00A800E0">
        <w:tab/>
      </w:r>
      <w:r w:rsidRPr="00A800E0">
        <w:rPr>
          <w:rStyle w:val="FootnoteReference"/>
        </w:rPr>
        <w:footnoteRef/>
      </w:r>
      <w:r w:rsidRPr="00A800E0">
        <w:tab/>
        <w:t xml:space="preserve">See </w:t>
      </w:r>
      <w:r w:rsidRPr="00A800E0">
        <w:rPr>
          <w:i/>
          <w:iCs/>
        </w:rPr>
        <w:t xml:space="preserve">X v. United Republic of Tanzania, Y v. United Republic of Tanzania </w:t>
      </w:r>
      <w:r w:rsidRPr="00A800E0">
        <w:t>(</w:t>
      </w:r>
      <w:hyperlink r:id="rId60" w:history="1">
        <w:r w:rsidRPr="00A800E0">
          <w:rPr>
            <w:rStyle w:val="Hyperlink"/>
          </w:rPr>
          <w:t>CRPD/C/20/D/23/2014</w:t>
        </w:r>
      </w:hyperlink>
      <w:r w:rsidRPr="00A800E0">
        <w:t xml:space="preserve">) and </w:t>
      </w:r>
      <w:r w:rsidRPr="00A800E0">
        <w:rPr>
          <w:i/>
          <w:iCs/>
        </w:rPr>
        <w:t>Z v. United Republic of Tanzania</w:t>
      </w:r>
      <w:r w:rsidRPr="00A800E0">
        <w:t xml:space="preserve"> (</w:t>
      </w:r>
      <w:hyperlink r:id="rId61" w:history="1">
        <w:r w:rsidRPr="00A800E0">
          <w:rPr>
            <w:rStyle w:val="Hyperlink"/>
          </w:rPr>
          <w:t>CRPD/C/22/D/24/2014</w:t>
        </w:r>
      </w:hyperlink>
      <w:r w:rsidRPr="00A800E0">
        <w:t>).</w:t>
      </w:r>
    </w:p>
  </w:footnote>
  <w:footnote w:id="54">
    <w:p w14:paraId="5342AC01" w14:textId="11D4E2C9" w:rsidR="00766FF5" w:rsidRPr="00A800E0" w:rsidRDefault="00766FF5" w:rsidP="00766FF5">
      <w:pPr>
        <w:pStyle w:val="FootnoteText"/>
      </w:pPr>
      <w:r w:rsidRPr="00A800E0">
        <w:tab/>
      </w:r>
      <w:r w:rsidRPr="00A800E0">
        <w:rPr>
          <w:rStyle w:val="FootnoteReference"/>
        </w:rPr>
        <w:footnoteRef/>
      </w:r>
      <w:r w:rsidRPr="00A800E0">
        <w:tab/>
      </w:r>
      <w:r w:rsidRPr="00A800E0">
        <w:rPr>
          <w:i/>
          <w:iCs/>
        </w:rPr>
        <w:t>X v. United Republic of Tanzania</w:t>
      </w:r>
      <w:r w:rsidRPr="00A800E0">
        <w:t xml:space="preserve">, para. 8.6; </w:t>
      </w:r>
      <w:r w:rsidRPr="00A800E0">
        <w:rPr>
          <w:i/>
          <w:iCs/>
        </w:rPr>
        <w:t>Y v. United Republic of Tanzania</w:t>
      </w:r>
      <w:r w:rsidRPr="00A800E0">
        <w:t xml:space="preserve">, para. 8.7; and </w:t>
      </w:r>
      <w:r w:rsidRPr="00A800E0">
        <w:rPr>
          <w:i/>
          <w:iCs/>
        </w:rPr>
        <w:t>Z</w:t>
      </w:r>
      <w:r w:rsidR="009B46F5">
        <w:rPr>
          <w:i/>
          <w:iCs/>
        </w:rPr>
        <w:t> </w:t>
      </w:r>
      <w:r w:rsidRPr="00A800E0">
        <w:rPr>
          <w:i/>
          <w:iCs/>
        </w:rPr>
        <w:t>v.</w:t>
      </w:r>
      <w:r w:rsidR="009B46F5">
        <w:rPr>
          <w:i/>
          <w:iCs/>
        </w:rPr>
        <w:t> </w:t>
      </w:r>
      <w:r w:rsidRPr="00A800E0">
        <w:rPr>
          <w:i/>
          <w:iCs/>
        </w:rPr>
        <w:t>United Republic of Tanzania</w:t>
      </w:r>
      <w:r w:rsidRPr="00A800E0">
        <w:t>,</w:t>
      </w:r>
      <w:r w:rsidRPr="00A800E0">
        <w:rPr>
          <w:i/>
          <w:iCs/>
        </w:rPr>
        <w:t xml:space="preserve"> </w:t>
      </w:r>
      <w:r w:rsidRPr="00A800E0">
        <w:t>para. 8.6.</w:t>
      </w:r>
    </w:p>
  </w:footnote>
  <w:footnote w:id="55">
    <w:p w14:paraId="3FCD7516" w14:textId="21F13A66" w:rsidR="00766FF5" w:rsidRPr="00A800E0" w:rsidRDefault="00766FF5" w:rsidP="00766FF5">
      <w:pPr>
        <w:pStyle w:val="FootnoteText"/>
      </w:pPr>
      <w:r w:rsidRPr="00A800E0">
        <w:tab/>
      </w:r>
      <w:r w:rsidRPr="00A800E0">
        <w:rPr>
          <w:rStyle w:val="FootnoteReference"/>
        </w:rPr>
        <w:footnoteRef/>
      </w:r>
      <w:r w:rsidRPr="00A800E0">
        <w:tab/>
        <w:t xml:space="preserve">See </w:t>
      </w:r>
      <w:hyperlink r:id="rId62" w:history="1">
        <w:r w:rsidRPr="00A800E0">
          <w:rPr>
            <w:rStyle w:val="Hyperlink"/>
          </w:rPr>
          <w:t>CRPD/C/GBR/CO/1</w:t>
        </w:r>
      </w:hyperlink>
      <w:r w:rsidRPr="00A800E0">
        <w:t xml:space="preserve">; </w:t>
      </w:r>
      <w:hyperlink r:id="rId63" w:history="1">
        <w:r w:rsidRPr="00A800E0">
          <w:rPr>
            <w:rStyle w:val="Hyperlink"/>
          </w:rPr>
          <w:t>CRPD/C/AUT/CO/2-3</w:t>
        </w:r>
      </w:hyperlink>
      <w:r w:rsidRPr="00A800E0">
        <w:t xml:space="preserve"> and </w:t>
      </w:r>
      <w:hyperlink r:id="rId64" w:history="1">
        <w:r w:rsidRPr="00A800E0">
          <w:rPr>
            <w:rStyle w:val="Hyperlink"/>
          </w:rPr>
          <w:t>CRPD/C/AUT/CO/2-3/Corr.1</w:t>
        </w:r>
      </w:hyperlink>
      <w:r w:rsidRPr="00A800E0">
        <w:t xml:space="preserve">; </w:t>
      </w:r>
      <w:hyperlink r:id="rId65" w:history="1">
        <w:r w:rsidRPr="00A800E0">
          <w:rPr>
            <w:rStyle w:val="Hyperlink"/>
          </w:rPr>
          <w:t>CRPD/C/NLD/CO/1</w:t>
        </w:r>
      </w:hyperlink>
      <w:r w:rsidRPr="00A800E0">
        <w:t>;</w:t>
      </w:r>
      <w:r w:rsidRPr="00A800E0">
        <w:rPr>
          <w:szCs w:val="18"/>
        </w:rPr>
        <w:t xml:space="preserve"> and </w:t>
      </w:r>
      <w:hyperlink r:id="rId66" w:history="1">
        <w:r w:rsidRPr="00A800E0">
          <w:rPr>
            <w:rStyle w:val="Hyperlink"/>
            <w:szCs w:val="18"/>
          </w:rPr>
          <w:t>CRPD/C/EU/CO/2-3</w:t>
        </w:r>
      </w:hyperlink>
      <w:r w:rsidRPr="00A800E0">
        <w:t>.</w:t>
      </w:r>
    </w:p>
  </w:footnote>
  <w:footnote w:id="56">
    <w:p w14:paraId="4811ABDA" w14:textId="77777777" w:rsidR="00766FF5" w:rsidRPr="00A800E0" w:rsidRDefault="00766FF5" w:rsidP="00766FF5">
      <w:pPr>
        <w:pStyle w:val="FootnoteText"/>
        <w:rPr>
          <w:szCs w:val="18"/>
        </w:rPr>
      </w:pPr>
      <w:r w:rsidRPr="00A800E0">
        <w:tab/>
      </w:r>
      <w:r w:rsidRPr="00A800E0">
        <w:rPr>
          <w:rStyle w:val="FootnoteReference"/>
        </w:rPr>
        <w:footnoteRef/>
      </w:r>
      <w:r w:rsidRPr="00A800E0">
        <w:tab/>
        <w:t xml:space="preserve">Examples include legislation in </w:t>
      </w:r>
      <w:r w:rsidRPr="00A800E0">
        <w:rPr>
          <w:color w:val="000000"/>
          <w:szCs w:val="18"/>
        </w:rPr>
        <w:t>Belgium, Chile, Costa Rica, Greece, Norway, South Africa and Spain</w:t>
      </w:r>
      <w:r w:rsidRPr="00A800E0">
        <w:rPr>
          <w:szCs w:val="18"/>
        </w:rPr>
        <w:t>.</w:t>
      </w:r>
    </w:p>
  </w:footnote>
  <w:footnote w:id="57">
    <w:p w14:paraId="68FAA262" w14:textId="2D411A4F" w:rsidR="00766FF5" w:rsidRPr="00A800E0" w:rsidRDefault="00766FF5" w:rsidP="00766FF5">
      <w:pPr>
        <w:pStyle w:val="FootnoteText"/>
      </w:pPr>
      <w:r w:rsidRPr="00A800E0">
        <w:tab/>
      </w:r>
      <w:r w:rsidRPr="00A800E0">
        <w:rPr>
          <w:rStyle w:val="FootnoteReference"/>
        </w:rPr>
        <w:footnoteRef/>
      </w:r>
      <w:r w:rsidRPr="00600D6A">
        <w:rPr>
          <w:lang w:val="es-ES"/>
        </w:rPr>
        <w:tab/>
      </w:r>
      <w:hyperlink r:id="rId67" w:history="1">
        <w:r w:rsidRPr="00600D6A">
          <w:rPr>
            <w:rStyle w:val="Hyperlink"/>
            <w:lang w:val="es-ES"/>
          </w:rPr>
          <w:t>CRPD/C/GBR/RFIR/1</w:t>
        </w:r>
      </w:hyperlink>
      <w:r w:rsidRPr="00600D6A">
        <w:rPr>
          <w:lang w:val="es-ES"/>
        </w:rPr>
        <w:t xml:space="preserve">, paras. </w:t>
      </w:r>
      <w:r w:rsidRPr="00A800E0">
        <w:t xml:space="preserve">74 and 81. See also </w:t>
      </w:r>
      <w:hyperlink r:id="rId68" w:history="1">
        <w:r w:rsidRPr="00A800E0">
          <w:rPr>
            <w:rStyle w:val="Hyperlink"/>
          </w:rPr>
          <w:t>CRPD/C/15/4</w:t>
        </w:r>
      </w:hyperlink>
      <w:r w:rsidRPr="00A800E0">
        <w:t xml:space="preserve"> and </w:t>
      </w:r>
      <w:hyperlink r:id="rId69" w:history="1">
        <w:r w:rsidRPr="00A800E0">
          <w:rPr>
            <w:rStyle w:val="Hyperlink"/>
          </w:rPr>
          <w:t>CRPD/C/15/4/Corr.1</w:t>
        </w:r>
      </w:hyperlink>
      <w:r w:rsidRPr="00A800E0">
        <w:t>, paras. 79, 85, 91, 109 and 114 (h).</w:t>
      </w:r>
    </w:p>
  </w:footnote>
  <w:footnote w:id="58">
    <w:p w14:paraId="723481C9" w14:textId="55B55965" w:rsidR="00766FF5" w:rsidRPr="00A800E0" w:rsidRDefault="00766FF5" w:rsidP="00766FF5">
      <w:pPr>
        <w:pStyle w:val="FootnoteText"/>
      </w:pPr>
      <w:r w:rsidRPr="00A800E0">
        <w:tab/>
      </w:r>
      <w:r w:rsidRPr="00A800E0">
        <w:rPr>
          <w:rStyle w:val="FootnoteReference"/>
        </w:rPr>
        <w:footnoteRef/>
      </w:r>
      <w:r w:rsidRPr="00A800E0">
        <w:tab/>
      </w:r>
      <w:hyperlink r:id="rId70" w:history="1">
        <w:r w:rsidRPr="00A800E0">
          <w:rPr>
            <w:rStyle w:val="Hyperlink"/>
          </w:rPr>
          <w:t>CRPD/C/15/4</w:t>
        </w:r>
      </w:hyperlink>
      <w:r w:rsidRPr="00A800E0">
        <w:t xml:space="preserve"> and </w:t>
      </w:r>
      <w:hyperlink r:id="rId71" w:history="1">
        <w:r w:rsidRPr="00A800E0">
          <w:rPr>
            <w:rStyle w:val="Hyperlink"/>
          </w:rPr>
          <w:t>CRPD/C/15/4/Corr.1</w:t>
        </w:r>
      </w:hyperlink>
      <w:r w:rsidRPr="00A800E0">
        <w:t>, para. 114 (h).</w:t>
      </w:r>
    </w:p>
  </w:footnote>
  <w:footnote w:id="59">
    <w:p w14:paraId="6363E358" w14:textId="0F380FEC" w:rsidR="00766FF5" w:rsidRPr="00A800E0" w:rsidRDefault="00766FF5" w:rsidP="00766FF5">
      <w:pPr>
        <w:pStyle w:val="FootnoteText"/>
      </w:pPr>
      <w:r w:rsidRPr="00A800E0">
        <w:tab/>
      </w:r>
      <w:r w:rsidRPr="00A800E0">
        <w:rPr>
          <w:rStyle w:val="FootnoteReference"/>
        </w:rPr>
        <w:footnoteRef/>
      </w:r>
      <w:r w:rsidRPr="00600D6A">
        <w:rPr>
          <w:lang w:val="es-ES"/>
        </w:rPr>
        <w:tab/>
      </w:r>
      <w:hyperlink r:id="rId72" w:history="1">
        <w:r w:rsidRPr="00600D6A">
          <w:rPr>
            <w:rStyle w:val="Hyperlink"/>
            <w:lang w:val="es-ES"/>
          </w:rPr>
          <w:t>CRPD/C/MWI/CO/1-2</w:t>
        </w:r>
      </w:hyperlink>
      <w:r w:rsidRPr="00600D6A">
        <w:rPr>
          <w:lang w:val="es-ES"/>
        </w:rPr>
        <w:t xml:space="preserve">, para. </w:t>
      </w:r>
      <w:r w:rsidRPr="00A800E0">
        <w:t>33.</w:t>
      </w:r>
    </w:p>
  </w:footnote>
  <w:footnote w:id="60">
    <w:p w14:paraId="0A159365" w14:textId="030257DE" w:rsidR="00766FF5" w:rsidRPr="00A800E0" w:rsidRDefault="00766FF5" w:rsidP="00766FF5">
      <w:pPr>
        <w:pStyle w:val="FootnoteText"/>
      </w:pPr>
      <w:r w:rsidRPr="00A800E0">
        <w:tab/>
      </w:r>
      <w:r w:rsidRPr="00A800E0">
        <w:rPr>
          <w:rStyle w:val="FootnoteReference"/>
        </w:rPr>
        <w:footnoteRef/>
      </w:r>
      <w:r w:rsidRPr="00A800E0">
        <w:tab/>
      </w:r>
      <w:hyperlink r:id="rId73" w:history="1">
        <w:r w:rsidRPr="00A800E0">
          <w:rPr>
            <w:rStyle w:val="Hyperlink"/>
          </w:rPr>
          <w:t>CRPD/C/ISR/CO/1</w:t>
        </w:r>
      </w:hyperlink>
      <w:r w:rsidRPr="00A800E0">
        <w:t xml:space="preserve">, paras. 21 and 22; and </w:t>
      </w:r>
      <w:hyperlink r:id="rId74" w:history="1">
        <w:r w:rsidRPr="00A800E0">
          <w:rPr>
            <w:rStyle w:val="Hyperlink"/>
          </w:rPr>
          <w:t>CRPD/C/FRA/CO/1</w:t>
        </w:r>
      </w:hyperlink>
      <w:r w:rsidRPr="00A800E0">
        <w:t>, para. 23 (b).</w:t>
      </w:r>
    </w:p>
  </w:footnote>
  <w:footnote w:id="61">
    <w:p w14:paraId="78C436CC" w14:textId="5480963D" w:rsidR="00766FF5" w:rsidRPr="00A800E0" w:rsidRDefault="00766FF5" w:rsidP="00766FF5">
      <w:pPr>
        <w:pStyle w:val="FootnoteText"/>
      </w:pPr>
      <w:r w:rsidRPr="00A800E0">
        <w:tab/>
      </w:r>
      <w:r w:rsidRPr="00A800E0">
        <w:rPr>
          <w:rStyle w:val="FootnoteReference"/>
        </w:rPr>
        <w:footnoteRef/>
      </w:r>
      <w:r w:rsidRPr="00A800E0">
        <w:tab/>
        <w:t xml:space="preserve">See </w:t>
      </w:r>
      <w:hyperlink r:id="rId75" w:history="1">
        <w:r w:rsidRPr="00A800E0">
          <w:rPr>
            <w:rStyle w:val="Hyperlink"/>
          </w:rPr>
          <w:t>CRPD/C/CAN/CO/2-3</w:t>
        </w:r>
      </w:hyperlink>
      <w:r w:rsidRPr="00A800E0">
        <w:t>.</w:t>
      </w:r>
    </w:p>
  </w:footnote>
  <w:footnote w:id="62">
    <w:p w14:paraId="1A77174A" w14:textId="02000F8C" w:rsidR="00766FF5" w:rsidRPr="00600D6A" w:rsidRDefault="00766FF5" w:rsidP="00766FF5">
      <w:pPr>
        <w:pStyle w:val="FootnoteText"/>
        <w:rPr>
          <w:lang w:val="es-ES"/>
        </w:rPr>
      </w:pPr>
      <w:r w:rsidRPr="00A800E0">
        <w:tab/>
      </w:r>
      <w:r w:rsidRPr="00A800E0">
        <w:rPr>
          <w:rStyle w:val="FootnoteReference"/>
        </w:rPr>
        <w:footnoteRef/>
      </w:r>
      <w:r w:rsidRPr="00A800E0">
        <w:tab/>
      </w:r>
      <w:hyperlink r:id="rId76" w:history="1">
        <w:r w:rsidRPr="00A800E0">
          <w:rPr>
            <w:rStyle w:val="Hyperlink"/>
          </w:rPr>
          <w:t>CRPD/C/DOM/CO/2-3</w:t>
        </w:r>
      </w:hyperlink>
      <w:r w:rsidRPr="00A800E0">
        <w:t xml:space="preserve">, para. 29; </w:t>
      </w:r>
      <w:hyperlink r:id="rId77" w:history="1">
        <w:r w:rsidRPr="00A800E0">
          <w:rPr>
            <w:rStyle w:val="Hyperlink"/>
          </w:rPr>
          <w:t>CRPD/C/BFA/CO/1</w:t>
        </w:r>
      </w:hyperlink>
      <w:r w:rsidRPr="00A800E0">
        <w:t xml:space="preserve">, para. 32; and </w:t>
      </w:r>
      <w:hyperlink r:id="rId78" w:history="1">
        <w:r w:rsidRPr="00A800E0">
          <w:rPr>
            <w:rStyle w:val="Hyperlink"/>
          </w:rPr>
          <w:t>CRPD/C/THA/CO/1</w:t>
        </w:r>
      </w:hyperlink>
      <w:r w:rsidRPr="00A800E0">
        <w:t xml:space="preserve">, para. </w:t>
      </w:r>
      <w:r w:rsidRPr="00600D6A">
        <w:rPr>
          <w:lang w:val="es-ES"/>
        </w:rPr>
        <w:t>33.</w:t>
      </w:r>
    </w:p>
  </w:footnote>
  <w:footnote w:id="63">
    <w:p w14:paraId="65C52A01" w14:textId="6C58C863" w:rsidR="00766FF5" w:rsidRPr="00A800E0" w:rsidRDefault="00766FF5" w:rsidP="00766FF5">
      <w:pPr>
        <w:pStyle w:val="FootnoteText"/>
      </w:pPr>
      <w:r w:rsidRPr="00600D6A">
        <w:rPr>
          <w:lang w:val="es-ES"/>
        </w:rPr>
        <w:tab/>
      </w:r>
      <w:r w:rsidRPr="00A800E0">
        <w:rPr>
          <w:rStyle w:val="FootnoteReference"/>
        </w:rPr>
        <w:footnoteRef/>
      </w:r>
      <w:r w:rsidRPr="00600D6A">
        <w:rPr>
          <w:lang w:val="es-ES"/>
        </w:rPr>
        <w:tab/>
      </w:r>
      <w:hyperlink r:id="rId79" w:history="1">
        <w:r w:rsidRPr="00600D6A">
          <w:rPr>
            <w:rStyle w:val="Hyperlink"/>
            <w:lang w:val="es-ES"/>
          </w:rPr>
          <w:t>CRPD/C/PRY/CO/1</w:t>
        </w:r>
      </w:hyperlink>
      <w:r w:rsidRPr="00600D6A">
        <w:rPr>
          <w:lang w:val="es-ES"/>
        </w:rPr>
        <w:t xml:space="preserve">, para. 43; </w:t>
      </w:r>
      <w:hyperlink r:id="rId80" w:history="1">
        <w:r w:rsidRPr="00600D6A">
          <w:rPr>
            <w:rStyle w:val="Hyperlink"/>
            <w:lang w:val="es-ES"/>
          </w:rPr>
          <w:t>CRPD/C/AZE/CO/2-3</w:t>
        </w:r>
      </w:hyperlink>
      <w:r w:rsidRPr="00600D6A">
        <w:rPr>
          <w:lang w:val="es-ES"/>
        </w:rPr>
        <w:t xml:space="preserve">, para. </w:t>
      </w:r>
      <w:r w:rsidRPr="00A800E0">
        <w:t xml:space="preserve">37; and </w:t>
      </w:r>
      <w:hyperlink r:id="rId81" w:history="1">
        <w:r w:rsidRPr="00A800E0">
          <w:rPr>
            <w:rStyle w:val="Hyperlink"/>
          </w:rPr>
          <w:t>CRPD/C/MNG/CO/2-3</w:t>
        </w:r>
      </w:hyperlink>
      <w:r w:rsidRPr="00A800E0">
        <w:t>, para. 33.</w:t>
      </w:r>
    </w:p>
  </w:footnote>
  <w:footnote w:id="64">
    <w:p w14:paraId="57E94413" w14:textId="1E2CD2EC" w:rsidR="00766FF5" w:rsidRPr="00A800E0" w:rsidRDefault="00766FF5" w:rsidP="00766FF5">
      <w:pPr>
        <w:pStyle w:val="FootnoteText"/>
      </w:pPr>
      <w:r w:rsidRPr="00A800E0">
        <w:tab/>
      </w:r>
      <w:r w:rsidRPr="00A800E0">
        <w:rPr>
          <w:rStyle w:val="FootnoteReference"/>
        </w:rPr>
        <w:footnoteRef/>
      </w:r>
      <w:r w:rsidRPr="00A800E0">
        <w:tab/>
      </w:r>
      <w:hyperlink r:id="rId82" w:history="1">
        <w:r w:rsidRPr="00A800E0">
          <w:rPr>
            <w:rStyle w:val="Hyperlink"/>
          </w:rPr>
          <w:t>CRPD/C/IDN/CO/1</w:t>
        </w:r>
      </w:hyperlink>
      <w:r w:rsidRPr="00A800E0">
        <w:t>, para</w:t>
      </w:r>
      <w:r w:rsidR="00D87999">
        <w:t>s</w:t>
      </w:r>
      <w:r w:rsidRPr="00A800E0">
        <w:t>. 38 and 39.</w:t>
      </w:r>
    </w:p>
  </w:footnote>
  <w:footnote w:id="65">
    <w:p w14:paraId="2AE57355" w14:textId="1759D51D" w:rsidR="00766FF5" w:rsidRPr="00A800E0" w:rsidRDefault="00766FF5" w:rsidP="00766FF5">
      <w:pPr>
        <w:pStyle w:val="FootnoteText"/>
        <w:rPr>
          <w:rFonts w:eastAsia="Times New Roman"/>
          <w:color w:val="000000"/>
        </w:rPr>
      </w:pPr>
      <w:r w:rsidRPr="00A800E0">
        <w:rPr>
          <w:rFonts w:eastAsia="Times New Roman"/>
          <w:color w:val="000000"/>
        </w:rPr>
        <w:tab/>
      </w:r>
      <w:r w:rsidRPr="00A800E0">
        <w:rPr>
          <w:vertAlign w:val="superscript"/>
        </w:rPr>
        <w:footnoteRef/>
      </w:r>
      <w:r w:rsidRPr="00A800E0">
        <w:rPr>
          <w:rFonts w:eastAsia="Times New Roman"/>
          <w:color w:val="000000"/>
        </w:rPr>
        <w:tab/>
      </w:r>
      <w:r w:rsidRPr="00A800E0">
        <w:t xml:space="preserve">General comment No. 8 (2022), </w:t>
      </w:r>
      <w:r w:rsidRPr="00A800E0">
        <w:rPr>
          <w:rFonts w:eastAsia="Times New Roman"/>
          <w:color w:val="000000"/>
        </w:rPr>
        <w:t>paras. 13–15.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F92A" w14:textId="59C4080A" w:rsidR="00530913" w:rsidRDefault="00530913" w:rsidP="00530913">
    <w:pPr>
      <w:pStyle w:val="Header"/>
    </w:pPr>
    <w:r>
      <w:t>CRPD/C/8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4599" w14:textId="1D4898E1" w:rsidR="00530913" w:rsidRDefault="00530913" w:rsidP="00530913">
    <w:pPr>
      <w:pStyle w:val="Header"/>
      <w:jc w:val="right"/>
    </w:pPr>
    <w:r>
      <w:t>CRPD/C/8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E47704"/>
    <w:multiLevelType w:val="hybridMultilevel"/>
    <w:tmpl w:val="63E608EA"/>
    <w:lvl w:ilvl="0" w:tplc="72DCC95C">
      <w:start w:val="2"/>
      <w:numFmt w:val="lowerLetter"/>
      <w:lvlText w:val="%1)"/>
      <w:lvlJc w:val="left"/>
      <w:pPr>
        <w:ind w:left="2061" w:hanging="360"/>
      </w:pPr>
      <w:rPr>
        <w:rFonts w:hint="default"/>
      </w:rPr>
    </w:lvl>
    <w:lvl w:ilvl="1" w:tplc="20000019" w:tentative="1">
      <w:start w:val="1"/>
      <w:numFmt w:val="lowerLetter"/>
      <w:lvlText w:val="%2."/>
      <w:lvlJc w:val="left"/>
      <w:pPr>
        <w:ind w:left="2781" w:hanging="360"/>
      </w:pPr>
    </w:lvl>
    <w:lvl w:ilvl="2" w:tplc="2000001B" w:tentative="1">
      <w:start w:val="1"/>
      <w:numFmt w:val="lowerRoman"/>
      <w:lvlText w:val="%3."/>
      <w:lvlJc w:val="right"/>
      <w:pPr>
        <w:ind w:left="3501" w:hanging="180"/>
      </w:pPr>
    </w:lvl>
    <w:lvl w:ilvl="3" w:tplc="2000000F" w:tentative="1">
      <w:start w:val="1"/>
      <w:numFmt w:val="decimal"/>
      <w:lvlText w:val="%4."/>
      <w:lvlJc w:val="left"/>
      <w:pPr>
        <w:ind w:left="4221" w:hanging="360"/>
      </w:pPr>
    </w:lvl>
    <w:lvl w:ilvl="4" w:tplc="20000019" w:tentative="1">
      <w:start w:val="1"/>
      <w:numFmt w:val="lowerLetter"/>
      <w:lvlText w:val="%5."/>
      <w:lvlJc w:val="left"/>
      <w:pPr>
        <w:ind w:left="4941" w:hanging="360"/>
      </w:pPr>
    </w:lvl>
    <w:lvl w:ilvl="5" w:tplc="2000001B" w:tentative="1">
      <w:start w:val="1"/>
      <w:numFmt w:val="lowerRoman"/>
      <w:lvlText w:val="%6."/>
      <w:lvlJc w:val="right"/>
      <w:pPr>
        <w:ind w:left="5661" w:hanging="180"/>
      </w:pPr>
    </w:lvl>
    <w:lvl w:ilvl="6" w:tplc="2000000F" w:tentative="1">
      <w:start w:val="1"/>
      <w:numFmt w:val="decimal"/>
      <w:lvlText w:val="%7."/>
      <w:lvlJc w:val="left"/>
      <w:pPr>
        <w:ind w:left="6381" w:hanging="360"/>
      </w:pPr>
    </w:lvl>
    <w:lvl w:ilvl="7" w:tplc="20000019" w:tentative="1">
      <w:start w:val="1"/>
      <w:numFmt w:val="lowerLetter"/>
      <w:lvlText w:val="%8."/>
      <w:lvlJc w:val="left"/>
      <w:pPr>
        <w:ind w:left="7101" w:hanging="360"/>
      </w:pPr>
    </w:lvl>
    <w:lvl w:ilvl="8" w:tplc="2000001B" w:tentative="1">
      <w:start w:val="1"/>
      <w:numFmt w:val="lowerRoman"/>
      <w:lvlText w:val="%9."/>
      <w:lvlJc w:val="right"/>
      <w:pPr>
        <w:ind w:left="7821" w:hanging="180"/>
      </w:pPr>
    </w:lvl>
  </w:abstractNum>
  <w:abstractNum w:abstractNumId="2" w15:restartNumberingAfterBreak="0">
    <w:nsid w:val="089C719C"/>
    <w:multiLevelType w:val="hybridMultilevel"/>
    <w:tmpl w:val="BB96191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90252B2"/>
    <w:multiLevelType w:val="hybridMultilevel"/>
    <w:tmpl w:val="3AB8285A"/>
    <w:lvl w:ilvl="0" w:tplc="EA320EEE">
      <w:start w:val="1"/>
      <w:numFmt w:val="lowerLetter"/>
      <w:lvlText w:val="(%1)"/>
      <w:lvlJc w:val="left"/>
      <w:pPr>
        <w:ind w:left="426" w:hanging="360"/>
      </w:pPr>
      <w:rPr>
        <w:rFonts w:hint="default"/>
      </w:rPr>
    </w:lvl>
    <w:lvl w:ilvl="1" w:tplc="20000019" w:tentative="1">
      <w:start w:val="1"/>
      <w:numFmt w:val="lowerLetter"/>
      <w:lvlText w:val="%2."/>
      <w:lvlJc w:val="left"/>
      <w:pPr>
        <w:ind w:left="1146" w:hanging="360"/>
      </w:pPr>
    </w:lvl>
    <w:lvl w:ilvl="2" w:tplc="2000001B" w:tentative="1">
      <w:start w:val="1"/>
      <w:numFmt w:val="lowerRoman"/>
      <w:lvlText w:val="%3."/>
      <w:lvlJc w:val="right"/>
      <w:pPr>
        <w:ind w:left="1866" w:hanging="180"/>
      </w:pPr>
    </w:lvl>
    <w:lvl w:ilvl="3" w:tplc="2000000F" w:tentative="1">
      <w:start w:val="1"/>
      <w:numFmt w:val="decimal"/>
      <w:lvlText w:val="%4."/>
      <w:lvlJc w:val="left"/>
      <w:pPr>
        <w:ind w:left="2586" w:hanging="360"/>
      </w:pPr>
    </w:lvl>
    <w:lvl w:ilvl="4" w:tplc="20000019" w:tentative="1">
      <w:start w:val="1"/>
      <w:numFmt w:val="lowerLetter"/>
      <w:lvlText w:val="%5."/>
      <w:lvlJc w:val="left"/>
      <w:pPr>
        <w:ind w:left="3306" w:hanging="360"/>
      </w:pPr>
    </w:lvl>
    <w:lvl w:ilvl="5" w:tplc="2000001B" w:tentative="1">
      <w:start w:val="1"/>
      <w:numFmt w:val="lowerRoman"/>
      <w:lvlText w:val="%6."/>
      <w:lvlJc w:val="right"/>
      <w:pPr>
        <w:ind w:left="4026" w:hanging="180"/>
      </w:pPr>
    </w:lvl>
    <w:lvl w:ilvl="6" w:tplc="2000000F" w:tentative="1">
      <w:start w:val="1"/>
      <w:numFmt w:val="decimal"/>
      <w:lvlText w:val="%7."/>
      <w:lvlJc w:val="left"/>
      <w:pPr>
        <w:ind w:left="4746" w:hanging="360"/>
      </w:pPr>
    </w:lvl>
    <w:lvl w:ilvl="7" w:tplc="20000019" w:tentative="1">
      <w:start w:val="1"/>
      <w:numFmt w:val="lowerLetter"/>
      <w:lvlText w:val="%8."/>
      <w:lvlJc w:val="left"/>
      <w:pPr>
        <w:ind w:left="5466" w:hanging="360"/>
      </w:pPr>
    </w:lvl>
    <w:lvl w:ilvl="8" w:tplc="2000001B" w:tentative="1">
      <w:start w:val="1"/>
      <w:numFmt w:val="lowerRoman"/>
      <w:lvlText w:val="%9."/>
      <w:lvlJc w:val="right"/>
      <w:pPr>
        <w:ind w:left="6186" w:hanging="180"/>
      </w:pPr>
    </w:lvl>
  </w:abstractNum>
  <w:abstractNum w:abstractNumId="4" w15:restartNumberingAfterBreak="0">
    <w:nsid w:val="0B2B1706"/>
    <w:multiLevelType w:val="hybridMultilevel"/>
    <w:tmpl w:val="FF02AEA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5"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608621F"/>
    <w:multiLevelType w:val="hybridMultilevel"/>
    <w:tmpl w:val="008EA2B0"/>
    <w:lvl w:ilvl="0" w:tplc="2000000F">
      <w:start w:val="1"/>
      <w:numFmt w:val="decimal"/>
      <w:lvlText w:val="%1."/>
      <w:lvlJc w:val="left"/>
      <w:pPr>
        <w:ind w:left="1854" w:hanging="360"/>
      </w:p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7" w15:restartNumberingAfterBreak="0">
    <w:nsid w:val="16B01A1E"/>
    <w:multiLevelType w:val="hybridMultilevel"/>
    <w:tmpl w:val="5FAA965A"/>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8" w15:restartNumberingAfterBreak="0">
    <w:nsid w:val="16E340B4"/>
    <w:multiLevelType w:val="hybridMultilevel"/>
    <w:tmpl w:val="16E2434E"/>
    <w:lvl w:ilvl="0" w:tplc="3DE4B7DC">
      <w:start w:val="1"/>
      <w:numFmt w:val="upperRoman"/>
      <w:lvlText w:val="%1."/>
      <w:lvlJc w:val="left"/>
      <w:pPr>
        <w:ind w:left="1215" w:hanging="85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CA476EA"/>
    <w:multiLevelType w:val="hybridMultilevel"/>
    <w:tmpl w:val="92485A1A"/>
    <w:lvl w:ilvl="0" w:tplc="FFFFFFFF">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0" w15:restartNumberingAfterBreak="0">
    <w:nsid w:val="1CD26676"/>
    <w:multiLevelType w:val="hybridMultilevel"/>
    <w:tmpl w:val="DFB25EC2"/>
    <w:lvl w:ilvl="0" w:tplc="F9A23CF2">
      <w:start w:val="1"/>
      <w:numFmt w:val="lowerLetter"/>
      <w:lvlText w:val="(%1)"/>
      <w:lvlJc w:val="left"/>
      <w:pPr>
        <w:ind w:left="1854" w:hanging="360"/>
      </w:pPr>
      <w:rPr>
        <w:rFonts w:hint="default"/>
      </w:rPr>
    </w:lvl>
    <w:lvl w:ilvl="1" w:tplc="CFCED2E0">
      <w:start w:val="1"/>
      <w:numFmt w:val="lowerLetter"/>
      <w:lvlText w:val="(%2)"/>
      <w:lvlJc w:val="left"/>
      <w:pPr>
        <w:ind w:left="1854" w:hanging="360"/>
      </w:pPr>
      <w:rPr>
        <w:rFonts w:hint="default"/>
        <w:b w:val="0"/>
        <w:bCs w:val="0"/>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1"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B64B8F"/>
    <w:multiLevelType w:val="hybridMultilevel"/>
    <w:tmpl w:val="FCB06E30"/>
    <w:lvl w:ilvl="0" w:tplc="0546AD46">
      <w:start w:val="1"/>
      <w:numFmt w:val="decimal"/>
      <w:lvlText w:val="%1."/>
      <w:lvlJc w:val="left"/>
      <w:pPr>
        <w:ind w:left="2062" w:hanging="360"/>
      </w:pPr>
      <w:rPr>
        <w:rFonts w:asciiTheme="majorBidi" w:hAnsiTheme="majorBidi" w:cstheme="majorBidi" w:hint="default"/>
        <w:b w:val="0"/>
        <w:bCs w:val="0"/>
        <w:color w:val="auto"/>
      </w:rPr>
    </w:lvl>
    <w:lvl w:ilvl="1" w:tplc="20000019">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3" w15:restartNumberingAfterBreak="0">
    <w:nsid w:val="2F493CD0"/>
    <w:multiLevelType w:val="hybridMultilevel"/>
    <w:tmpl w:val="714E34A8"/>
    <w:lvl w:ilvl="0" w:tplc="E556C648">
      <w:start w:val="1"/>
      <w:numFmt w:val="lowerRoman"/>
      <w:lvlText w:val="(%1)"/>
      <w:lvlJc w:val="left"/>
      <w:pPr>
        <w:ind w:left="2988" w:hanging="720"/>
      </w:pPr>
      <w:rPr>
        <w:rFonts w:hint="default"/>
      </w:rPr>
    </w:lvl>
    <w:lvl w:ilvl="1" w:tplc="20000019" w:tentative="1">
      <w:start w:val="1"/>
      <w:numFmt w:val="lowerLetter"/>
      <w:lvlText w:val="%2."/>
      <w:lvlJc w:val="left"/>
      <w:pPr>
        <w:ind w:left="3348" w:hanging="360"/>
      </w:pPr>
    </w:lvl>
    <w:lvl w:ilvl="2" w:tplc="2000001B" w:tentative="1">
      <w:start w:val="1"/>
      <w:numFmt w:val="lowerRoman"/>
      <w:lvlText w:val="%3."/>
      <w:lvlJc w:val="right"/>
      <w:pPr>
        <w:ind w:left="4068" w:hanging="180"/>
      </w:pPr>
    </w:lvl>
    <w:lvl w:ilvl="3" w:tplc="2000000F" w:tentative="1">
      <w:start w:val="1"/>
      <w:numFmt w:val="decimal"/>
      <w:lvlText w:val="%4."/>
      <w:lvlJc w:val="left"/>
      <w:pPr>
        <w:ind w:left="4788" w:hanging="360"/>
      </w:pPr>
    </w:lvl>
    <w:lvl w:ilvl="4" w:tplc="20000019" w:tentative="1">
      <w:start w:val="1"/>
      <w:numFmt w:val="lowerLetter"/>
      <w:lvlText w:val="%5."/>
      <w:lvlJc w:val="left"/>
      <w:pPr>
        <w:ind w:left="5508" w:hanging="360"/>
      </w:pPr>
    </w:lvl>
    <w:lvl w:ilvl="5" w:tplc="2000001B" w:tentative="1">
      <w:start w:val="1"/>
      <w:numFmt w:val="lowerRoman"/>
      <w:lvlText w:val="%6."/>
      <w:lvlJc w:val="right"/>
      <w:pPr>
        <w:ind w:left="6228" w:hanging="180"/>
      </w:pPr>
    </w:lvl>
    <w:lvl w:ilvl="6" w:tplc="2000000F" w:tentative="1">
      <w:start w:val="1"/>
      <w:numFmt w:val="decimal"/>
      <w:lvlText w:val="%7."/>
      <w:lvlJc w:val="left"/>
      <w:pPr>
        <w:ind w:left="6948" w:hanging="360"/>
      </w:pPr>
    </w:lvl>
    <w:lvl w:ilvl="7" w:tplc="20000019" w:tentative="1">
      <w:start w:val="1"/>
      <w:numFmt w:val="lowerLetter"/>
      <w:lvlText w:val="%8."/>
      <w:lvlJc w:val="left"/>
      <w:pPr>
        <w:ind w:left="7668" w:hanging="360"/>
      </w:pPr>
    </w:lvl>
    <w:lvl w:ilvl="8" w:tplc="2000001B" w:tentative="1">
      <w:start w:val="1"/>
      <w:numFmt w:val="lowerRoman"/>
      <w:lvlText w:val="%9."/>
      <w:lvlJc w:val="right"/>
      <w:pPr>
        <w:ind w:left="8388" w:hanging="180"/>
      </w:pPr>
    </w:lvl>
  </w:abstractNum>
  <w:abstractNum w:abstractNumId="14" w15:restartNumberingAfterBreak="0">
    <w:nsid w:val="30210F2D"/>
    <w:multiLevelType w:val="hybridMultilevel"/>
    <w:tmpl w:val="ED5EB4F6"/>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5" w15:restartNumberingAfterBreak="0">
    <w:nsid w:val="310A0B2F"/>
    <w:multiLevelType w:val="hybridMultilevel"/>
    <w:tmpl w:val="830E3DC2"/>
    <w:lvl w:ilvl="0" w:tplc="9D042E5A">
      <w:start w:val="4"/>
      <w:numFmt w:val="upperLetter"/>
      <w:lvlText w:val="%1."/>
      <w:lvlJc w:val="left"/>
      <w:pPr>
        <w:ind w:left="2064" w:hanging="360"/>
      </w:pPr>
      <w:rPr>
        <w:rFonts w:hint="default"/>
      </w:rPr>
    </w:lvl>
    <w:lvl w:ilvl="1" w:tplc="20000019" w:tentative="1">
      <w:start w:val="1"/>
      <w:numFmt w:val="lowerLetter"/>
      <w:lvlText w:val="%2."/>
      <w:lvlJc w:val="left"/>
      <w:pPr>
        <w:ind w:left="2784" w:hanging="360"/>
      </w:pPr>
    </w:lvl>
    <w:lvl w:ilvl="2" w:tplc="2000001B" w:tentative="1">
      <w:start w:val="1"/>
      <w:numFmt w:val="lowerRoman"/>
      <w:lvlText w:val="%3."/>
      <w:lvlJc w:val="right"/>
      <w:pPr>
        <w:ind w:left="3504" w:hanging="180"/>
      </w:pPr>
    </w:lvl>
    <w:lvl w:ilvl="3" w:tplc="2000000F" w:tentative="1">
      <w:start w:val="1"/>
      <w:numFmt w:val="decimal"/>
      <w:lvlText w:val="%4."/>
      <w:lvlJc w:val="left"/>
      <w:pPr>
        <w:ind w:left="4224" w:hanging="360"/>
      </w:pPr>
    </w:lvl>
    <w:lvl w:ilvl="4" w:tplc="20000019" w:tentative="1">
      <w:start w:val="1"/>
      <w:numFmt w:val="lowerLetter"/>
      <w:lvlText w:val="%5."/>
      <w:lvlJc w:val="left"/>
      <w:pPr>
        <w:ind w:left="4944" w:hanging="360"/>
      </w:pPr>
    </w:lvl>
    <w:lvl w:ilvl="5" w:tplc="2000001B" w:tentative="1">
      <w:start w:val="1"/>
      <w:numFmt w:val="lowerRoman"/>
      <w:lvlText w:val="%6."/>
      <w:lvlJc w:val="right"/>
      <w:pPr>
        <w:ind w:left="5664" w:hanging="180"/>
      </w:pPr>
    </w:lvl>
    <w:lvl w:ilvl="6" w:tplc="2000000F" w:tentative="1">
      <w:start w:val="1"/>
      <w:numFmt w:val="decimal"/>
      <w:lvlText w:val="%7."/>
      <w:lvlJc w:val="left"/>
      <w:pPr>
        <w:ind w:left="6384" w:hanging="360"/>
      </w:pPr>
    </w:lvl>
    <w:lvl w:ilvl="7" w:tplc="20000019" w:tentative="1">
      <w:start w:val="1"/>
      <w:numFmt w:val="lowerLetter"/>
      <w:lvlText w:val="%8."/>
      <w:lvlJc w:val="left"/>
      <w:pPr>
        <w:ind w:left="7104" w:hanging="360"/>
      </w:pPr>
    </w:lvl>
    <w:lvl w:ilvl="8" w:tplc="2000001B" w:tentative="1">
      <w:start w:val="1"/>
      <w:numFmt w:val="lowerRoman"/>
      <w:lvlText w:val="%9."/>
      <w:lvlJc w:val="right"/>
      <w:pPr>
        <w:ind w:left="7824" w:hanging="180"/>
      </w:pPr>
    </w:lvl>
  </w:abstractNum>
  <w:abstractNum w:abstractNumId="16" w15:restartNumberingAfterBreak="0">
    <w:nsid w:val="3159658E"/>
    <w:multiLevelType w:val="hybridMultilevel"/>
    <w:tmpl w:val="4FB6776E"/>
    <w:lvl w:ilvl="0" w:tplc="FFFFFFFF">
      <w:start w:val="30"/>
      <w:numFmt w:val="decimal"/>
      <w:lvlText w:val="%1."/>
      <w:lvlJc w:val="left"/>
      <w:pPr>
        <w:ind w:left="1495" w:hanging="360"/>
      </w:pPr>
      <w:rPr>
        <w:rFonts w:hint="default"/>
        <w:b w:val="0"/>
        <w:bCs w:val="0"/>
      </w:rPr>
    </w:lvl>
    <w:lvl w:ilvl="1" w:tplc="FFFFFFFF">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7"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E235CA"/>
    <w:multiLevelType w:val="hybridMultilevel"/>
    <w:tmpl w:val="83446BBA"/>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9" w15:restartNumberingAfterBreak="0">
    <w:nsid w:val="38E746FB"/>
    <w:multiLevelType w:val="hybridMultilevel"/>
    <w:tmpl w:val="48649CA0"/>
    <w:lvl w:ilvl="0" w:tplc="B442F0EA">
      <w:start w:val="1"/>
      <w:numFmt w:val="decimal"/>
      <w:lvlText w:val="%1."/>
      <w:lvlJc w:val="left"/>
      <w:pPr>
        <w:ind w:left="1854" w:hanging="360"/>
      </w:pPr>
      <w:rPr>
        <w:i w:val="0"/>
        <w:iCs w:val="0"/>
      </w:rPr>
    </w:lvl>
    <w:lvl w:ilvl="1" w:tplc="0ED6A046">
      <w:start w:val="1"/>
      <w:numFmt w:val="lowerLetter"/>
      <w:lvlText w:val="(%2)"/>
      <w:lvlJc w:val="left"/>
      <w:pPr>
        <w:ind w:left="2769" w:hanging="555"/>
      </w:pPr>
      <w:rPr>
        <w:rFonts w:hint="default"/>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0" w15:restartNumberingAfterBreak="0">
    <w:nsid w:val="3B377DF3"/>
    <w:multiLevelType w:val="hybridMultilevel"/>
    <w:tmpl w:val="78ACE0F6"/>
    <w:lvl w:ilvl="0" w:tplc="286ABC54">
      <w:start w:val="4"/>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D757AF9"/>
    <w:multiLevelType w:val="hybridMultilevel"/>
    <w:tmpl w:val="C100C8B6"/>
    <w:lvl w:ilvl="0" w:tplc="FFFFFFFF">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2" w15:restartNumberingAfterBreak="0">
    <w:nsid w:val="3D854D09"/>
    <w:multiLevelType w:val="hybridMultilevel"/>
    <w:tmpl w:val="48E046C8"/>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3" w15:restartNumberingAfterBreak="0">
    <w:nsid w:val="4056633B"/>
    <w:multiLevelType w:val="hybridMultilevel"/>
    <w:tmpl w:val="770C9BB8"/>
    <w:lvl w:ilvl="0" w:tplc="FFFFFFFF">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4" w15:restartNumberingAfterBreak="0">
    <w:nsid w:val="405B34CF"/>
    <w:multiLevelType w:val="hybridMultilevel"/>
    <w:tmpl w:val="F8C0797E"/>
    <w:lvl w:ilvl="0" w:tplc="165E57AE">
      <w:start w:val="30"/>
      <w:numFmt w:val="decimal"/>
      <w:lvlText w:val="%1."/>
      <w:lvlJc w:val="left"/>
      <w:pPr>
        <w:ind w:left="5039" w:hanging="360"/>
      </w:pPr>
      <w:rPr>
        <w:rFonts w:asciiTheme="majorBidi" w:hAnsiTheme="majorBidi" w:cstheme="majorBidi" w:hint="default"/>
        <w:b w:val="0"/>
        <w:bCs w:val="0"/>
        <w:color w:val="auto"/>
      </w:rPr>
    </w:lvl>
    <w:lvl w:ilvl="1" w:tplc="20000019">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5" w15:restartNumberingAfterBreak="0">
    <w:nsid w:val="45452D23"/>
    <w:multiLevelType w:val="hybridMultilevel"/>
    <w:tmpl w:val="16566722"/>
    <w:lvl w:ilvl="0" w:tplc="31D055C0">
      <w:start w:val="1"/>
      <w:numFmt w:val="upperLetter"/>
      <w:lvlText w:val="%1."/>
      <w:lvlJc w:val="left"/>
      <w:pPr>
        <w:ind w:left="2064" w:hanging="360"/>
      </w:pPr>
      <w:rPr>
        <w:rFonts w:hint="default"/>
      </w:rPr>
    </w:lvl>
    <w:lvl w:ilvl="1" w:tplc="20000019" w:tentative="1">
      <w:start w:val="1"/>
      <w:numFmt w:val="lowerLetter"/>
      <w:lvlText w:val="%2."/>
      <w:lvlJc w:val="left"/>
      <w:pPr>
        <w:ind w:left="2784" w:hanging="360"/>
      </w:pPr>
    </w:lvl>
    <w:lvl w:ilvl="2" w:tplc="2000001B" w:tentative="1">
      <w:start w:val="1"/>
      <w:numFmt w:val="lowerRoman"/>
      <w:lvlText w:val="%3."/>
      <w:lvlJc w:val="right"/>
      <w:pPr>
        <w:ind w:left="3504" w:hanging="180"/>
      </w:pPr>
    </w:lvl>
    <w:lvl w:ilvl="3" w:tplc="2000000F" w:tentative="1">
      <w:start w:val="1"/>
      <w:numFmt w:val="decimal"/>
      <w:lvlText w:val="%4."/>
      <w:lvlJc w:val="left"/>
      <w:pPr>
        <w:ind w:left="4224" w:hanging="360"/>
      </w:pPr>
    </w:lvl>
    <w:lvl w:ilvl="4" w:tplc="20000019" w:tentative="1">
      <w:start w:val="1"/>
      <w:numFmt w:val="lowerLetter"/>
      <w:lvlText w:val="%5."/>
      <w:lvlJc w:val="left"/>
      <w:pPr>
        <w:ind w:left="4944" w:hanging="360"/>
      </w:pPr>
    </w:lvl>
    <w:lvl w:ilvl="5" w:tplc="2000001B" w:tentative="1">
      <w:start w:val="1"/>
      <w:numFmt w:val="lowerRoman"/>
      <w:lvlText w:val="%6."/>
      <w:lvlJc w:val="right"/>
      <w:pPr>
        <w:ind w:left="5664" w:hanging="180"/>
      </w:pPr>
    </w:lvl>
    <w:lvl w:ilvl="6" w:tplc="2000000F" w:tentative="1">
      <w:start w:val="1"/>
      <w:numFmt w:val="decimal"/>
      <w:lvlText w:val="%7."/>
      <w:lvlJc w:val="left"/>
      <w:pPr>
        <w:ind w:left="6384" w:hanging="360"/>
      </w:pPr>
    </w:lvl>
    <w:lvl w:ilvl="7" w:tplc="20000019" w:tentative="1">
      <w:start w:val="1"/>
      <w:numFmt w:val="lowerLetter"/>
      <w:lvlText w:val="%8."/>
      <w:lvlJc w:val="left"/>
      <w:pPr>
        <w:ind w:left="7104" w:hanging="360"/>
      </w:pPr>
    </w:lvl>
    <w:lvl w:ilvl="8" w:tplc="2000001B" w:tentative="1">
      <w:start w:val="1"/>
      <w:numFmt w:val="lowerRoman"/>
      <w:lvlText w:val="%9."/>
      <w:lvlJc w:val="right"/>
      <w:pPr>
        <w:ind w:left="7824" w:hanging="180"/>
      </w:pPr>
    </w:lvl>
  </w:abstractNum>
  <w:abstractNum w:abstractNumId="26" w15:restartNumberingAfterBreak="0">
    <w:nsid w:val="48385B77"/>
    <w:multiLevelType w:val="hybridMultilevel"/>
    <w:tmpl w:val="7B4EDB8E"/>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7" w15:restartNumberingAfterBreak="0">
    <w:nsid w:val="49DF2A0B"/>
    <w:multiLevelType w:val="hybridMultilevel"/>
    <w:tmpl w:val="2D72D31A"/>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B414C02"/>
    <w:multiLevelType w:val="hybridMultilevel"/>
    <w:tmpl w:val="50D431A6"/>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9" w15:restartNumberingAfterBreak="0">
    <w:nsid w:val="4D311528"/>
    <w:multiLevelType w:val="hybridMultilevel"/>
    <w:tmpl w:val="D19265E2"/>
    <w:lvl w:ilvl="0" w:tplc="FFFFFFFF">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0" w15:restartNumberingAfterBreak="0">
    <w:nsid w:val="54FA4A79"/>
    <w:multiLevelType w:val="hybridMultilevel"/>
    <w:tmpl w:val="9EDC0CA8"/>
    <w:lvl w:ilvl="0" w:tplc="1AD22CCA">
      <w:start w:val="1"/>
      <w:numFmt w:val="upperLetter"/>
      <w:lvlText w:val="%1."/>
      <w:lvlJc w:val="left"/>
      <w:pPr>
        <w:ind w:left="2064" w:hanging="360"/>
      </w:pPr>
      <w:rPr>
        <w:rFonts w:hint="default"/>
      </w:rPr>
    </w:lvl>
    <w:lvl w:ilvl="1" w:tplc="20000019" w:tentative="1">
      <w:start w:val="1"/>
      <w:numFmt w:val="lowerLetter"/>
      <w:lvlText w:val="%2."/>
      <w:lvlJc w:val="left"/>
      <w:pPr>
        <w:ind w:left="2784" w:hanging="360"/>
      </w:pPr>
    </w:lvl>
    <w:lvl w:ilvl="2" w:tplc="2000001B" w:tentative="1">
      <w:start w:val="1"/>
      <w:numFmt w:val="lowerRoman"/>
      <w:lvlText w:val="%3."/>
      <w:lvlJc w:val="right"/>
      <w:pPr>
        <w:ind w:left="3504" w:hanging="180"/>
      </w:pPr>
    </w:lvl>
    <w:lvl w:ilvl="3" w:tplc="2000000F" w:tentative="1">
      <w:start w:val="1"/>
      <w:numFmt w:val="decimal"/>
      <w:lvlText w:val="%4."/>
      <w:lvlJc w:val="left"/>
      <w:pPr>
        <w:ind w:left="4224" w:hanging="360"/>
      </w:pPr>
    </w:lvl>
    <w:lvl w:ilvl="4" w:tplc="20000019" w:tentative="1">
      <w:start w:val="1"/>
      <w:numFmt w:val="lowerLetter"/>
      <w:lvlText w:val="%5."/>
      <w:lvlJc w:val="left"/>
      <w:pPr>
        <w:ind w:left="4944" w:hanging="360"/>
      </w:pPr>
    </w:lvl>
    <w:lvl w:ilvl="5" w:tplc="2000001B" w:tentative="1">
      <w:start w:val="1"/>
      <w:numFmt w:val="lowerRoman"/>
      <w:lvlText w:val="%6."/>
      <w:lvlJc w:val="right"/>
      <w:pPr>
        <w:ind w:left="5664" w:hanging="180"/>
      </w:pPr>
    </w:lvl>
    <w:lvl w:ilvl="6" w:tplc="2000000F" w:tentative="1">
      <w:start w:val="1"/>
      <w:numFmt w:val="decimal"/>
      <w:lvlText w:val="%7."/>
      <w:lvlJc w:val="left"/>
      <w:pPr>
        <w:ind w:left="6384" w:hanging="360"/>
      </w:pPr>
    </w:lvl>
    <w:lvl w:ilvl="7" w:tplc="20000019" w:tentative="1">
      <w:start w:val="1"/>
      <w:numFmt w:val="lowerLetter"/>
      <w:lvlText w:val="%8."/>
      <w:lvlJc w:val="left"/>
      <w:pPr>
        <w:ind w:left="7104" w:hanging="360"/>
      </w:pPr>
    </w:lvl>
    <w:lvl w:ilvl="8" w:tplc="2000001B" w:tentative="1">
      <w:start w:val="1"/>
      <w:numFmt w:val="lowerRoman"/>
      <w:lvlText w:val="%9."/>
      <w:lvlJc w:val="right"/>
      <w:pPr>
        <w:ind w:left="7824" w:hanging="180"/>
      </w:pPr>
    </w:lvl>
  </w:abstractNum>
  <w:abstractNum w:abstractNumId="31" w15:restartNumberingAfterBreak="0">
    <w:nsid w:val="57400015"/>
    <w:multiLevelType w:val="hybridMultilevel"/>
    <w:tmpl w:val="9B8A867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2" w15:restartNumberingAfterBreak="0">
    <w:nsid w:val="59305CDB"/>
    <w:multiLevelType w:val="hybridMultilevel"/>
    <w:tmpl w:val="EF7AB7F6"/>
    <w:lvl w:ilvl="0" w:tplc="FFFFFFFF">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3"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5" w15:restartNumberingAfterBreak="0">
    <w:nsid w:val="63BC00F0"/>
    <w:multiLevelType w:val="multilevel"/>
    <w:tmpl w:val="642C5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F951FE"/>
    <w:multiLevelType w:val="hybridMultilevel"/>
    <w:tmpl w:val="67CC7CD6"/>
    <w:lvl w:ilvl="0" w:tplc="FFAE6D60">
      <w:start w:val="1"/>
      <w:numFmt w:val="decimal"/>
      <w:lvlText w:val="%1."/>
      <w:lvlJc w:val="left"/>
      <w:pPr>
        <w:ind w:left="1494" w:hanging="360"/>
      </w:pPr>
      <w:rPr>
        <w:rFonts w:hint="default"/>
      </w:rPr>
    </w:lvl>
    <w:lvl w:ilvl="1" w:tplc="20000019" w:tentative="1">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37" w15:restartNumberingAfterBreak="0">
    <w:nsid w:val="6D523665"/>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8" w15:restartNumberingAfterBreak="0">
    <w:nsid w:val="6E5D3C65"/>
    <w:multiLevelType w:val="hybridMultilevel"/>
    <w:tmpl w:val="0EF62E1E"/>
    <w:lvl w:ilvl="0" w:tplc="9B70BC0E">
      <w:start w:val="1"/>
      <w:numFmt w:val="lowerLetter"/>
      <w:lvlText w:val="(%1)"/>
      <w:lvlJc w:val="left"/>
      <w:pPr>
        <w:ind w:left="1544" w:hanging="410"/>
      </w:pPr>
      <w:rPr>
        <w:rFonts w:hint="default"/>
      </w:rPr>
    </w:lvl>
    <w:lvl w:ilvl="1" w:tplc="20000019" w:tentative="1">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39" w15:restartNumberingAfterBreak="0">
    <w:nsid w:val="6EBC6E7F"/>
    <w:multiLevelType w:val="hybridMultilevel"/>
    <w:tmpl w:val="FB8E43BE"/>
    <w:lvl w:ilvl="0" w:tplc="ED9C2EC8">
      <w:start w:val="5"/>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6FBC4D8A"/>
    <w:multiLevelType w:val="hybridMultilevel"/>
    <w:tmpl w:val="D94231F6"/>
    <w:lvl w:ilvl="0" w:tplc="F9A23CF2">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41" w15:restartNumberingAfterBreak="0">
    <w:nsid w:val="707E616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1563731"/>
    <w:multiLevelType w:val="hybridMultilevel"/>
    <w:tmpl w:val="77B6DC8A"/>
    <w:lvl w:ilvl="0" w:tplc="DF14956A">
      <w:start w:val="1"/>
      <w:numFmt w:val="lowerRoman"/>
      <w:lvlText w:val="%1."/>
      <w:lvlJc w:val="left"/>
      <w:pPr>
        <w:ind w:left="3038" w:hanging="720"/>
      </w:pPr>
      <w:rPr>
        <w:rFonts w:hint="default"/>
      </w:rPr>
    </w:lvl>
    <w:lvl w:ilvl="1" w:tplc="20000019" w:tentative="1">
      <w:start w:val="1"/>
      <w:numFmt w:val="lowerLetter"/>
      <w:lvlText w:val="%2."/>
      <w:lvlJc w:val="left"/>
      <w:pPr>
        <w:ind w:left="3398" w:hanging="360"/>
      </w:pPr>
    </w:lvl>
    <w:lvl w:ilvl="2" w:tplc="2000001B" w:tentative="1">
      <w:start w:val="1"/>
      <w:numFmt w:val="lowerRoman"/>
      <w:lvlText w:val="%3."/>
      <w:lvlJc w:val="right"/>
      <w:pPr>
        <w:ind w:left="4118" w:hanging="180"/>
      </w:pPr>
    </w:lvl>
    <w:lvl w:ilvl="3" w:tplc="2000000F" w:tentative="1">
      <w:start w:val="1"/>
      <w:numFmt w:val="decimal"/>
      <w:lvlText w:val="%4."/>
      <w:lvlJc w:val="left"/>
      <w:pPr>
        <w:ind w:left="4838" w:hanging="360"/>
      </w:pPr>
    </w:lvl>
    <w:lvl w:ilvl="4" w:tplc="20000019" w:tentative="1">
      <w:start w:val="1"/>
      <w:numFmt w:val="lowerLetter"/>
      <w:lvlText w:val="%5."/>
      <w:lvlJc w:val="left"/>
      <w:pPr>
        <w:ind w:left="5558" w:hanging="360"/>
      </w:pPr>
    </w:lvl>
    <w:lvl w:ilvl="5" w:tplc="2000001B" w:tentative="1">
      <w:start w:val="1"/>
      <w:numFmt w:val="lowerRoman"/>
      <w:lvlText w:val="%6."/>
      <w:lvlJc w:val="right"/>
      <w:pPr>
        <w:ind w:left="6278" w:hanging="180"/>
      </w:pPr>
    </w:lvl>
    <w:lvl w:ilvl="6" w:tplc="2000000F" w:tentative="1">
      <w:start w:val="1"/>
      <w:numFmt w:val="decimal"/>
      <w:lvlText w:val="%7."/>
      <w:lvlJc w:val="left"/>
      <w:pPr>
        <w:ind w:left="6998" w:hanging="360"/>
      </w:pPr>
    </w:lvl>
    <w:lvl w:ilvl="7" w:tplc="20000019" w:tentative="1">
      <w:start w:val="1"/>
      <w:numFmt w:val="lowerLetter"/>
      <w:lvlText w:val="%8."/>
      <w:lvlJc w:val="left"/>
      <w:pPr>
        <w:ind w:left="7718" w:hanging="360"/>
      </w:pPr>
    </w:lvl>
    <w:lvl w:ilvl="8" w:tplc="2000001B" w:tentative="1">
      <w:start w:val="1"/>
      <w:numFmt w:val="lowerRoman"/>
      <w:lvlText w:val="%9."/>
      <w:lvlJc w:val="right"/>
      <w:pPr>
        <w:ind w:left="8438" w:hanging="180"/>
      </w:pPr>
    </w:lvl>
  </w:abstractNum>
  <w:abstractNum w:abstractNumId="43"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F761B5A"/>
    <w:multiLevelType w:val="hybridMultilevel"/>
    <w:tmpl w:val="D2E6448A"/>
    <w:lvl w:ilvl="0" w:tplc="ADB0E564">
      <w:start w:val="1"/>
      <w:numFmt w:val="lowerLetter"/>
      <w:lvlText w:val="(%1)"/>
      <w:lvlJc w:val="left"/>
      <w:pPr>
        <w:ind w:left="2061" w:hanging="360"/>
      </w:pPr>
      <w:rPr>
        <w:rFonts w:hint="default"/>
      </w:rPr>
    </w:lvl>
    <w:lvl w:ilvl="1" w:tplc="20000019" w:tentative="1">
      <w:start w:val="1"/>
      <w:numFmt w:val="lowerLetter"/>
      <w:lvlText w:val="%2."/>
      <w:lvlJc w:val="left"/>
      <w:pPr>
        <w:ind w:left="2781" w:hanging="360"/>
      </w:pPr>
    </w:lvl>
    <w:lvl w:ilvl="2" w:tplc="2000001B" w:tentative="1">
      <w:start w:val="1"/>
      <w:numFmt w:val="lowerRoman"/>
      <w:lvlText w:val="%3."/>
      <w:lvlJc w:val="right"/>
      <w:pPr>
        <w:ind w:left="3501" w:hanging="180"/>
      </w:pPr>
    </w:lvl>
    <w:lvl w:ilvl="3" w:tplc="2000000F" w:tentative="1">
      <w:start w:val="1"/>
      <w:numFmt w:val="decimal"/>
      <w:lvlText w:val="%4."/>
      <w:lvlJc w:val="left"/>
      <w:pPr>
        <w:ind w:left="4221" w:hanging="360"/>
      </w:pPr>
    </w:lvl>
    <w:lvl w:ilvl="4" w:tplc="20000019" w:tentative="1">
      <w:start w:val="1"/>
      <w:numFmt w:val="lowerLetter"/>
      <w:lvlText w:val="%5."/>
      <w:lvlJc w:val="left"/>
      <w:pPr>
        <w:ind w:left="4941" w:hanging="360"/>
      </w:pPr>
    </w:lvl>
    <w:lvl w:ilvl="5" w:tplc="2000001B" w:tentative="1">
      <w:start w:val="1"/>
      <w:numFmt w:val="lowerRoman"/>
      <w:lvlText w:val="%6."/>
      <w:lvlJc w:val="right"/>
      <w:pPr>
        <w:ind w:left="5661" w:hanging="180"/>
      </w:pPr>
    </w:lvl>
    <w:lvl w:ilvl="6" w:tplc="2000000F" w:tentative="1">
      <w:start w:val="1"/>
      <w:numFmt w:val="decimal"/>
      <w:lvlText w:val="%7."/>
      <w:lvlJc w:val="left"/>
      <w:pPr>
        <w:ind w:left="6381" w:hanging="360"/>
      </w:pPr>
    </w:lvl>
    <w:lvl w:ilvl="7" w:tplc="20000019" w:tentative="1">
      <w:start w:val="1"/>
      <w:numFmt w:val="lowerLetter"/>
      <w:lvlText w:val="%8."/>
      <w:lvlJc w:val="left"/>
      <w:pPr>
        <w:ind w:left="7101" w:hanging="360"/>
      </w:pPr>
    </w:lvl>
    <w:lvl w:ilvl="8" w:tplc="2000001B" w:tentative="1">
      <w:start w:val="1"/>
      <w:numFmt w:val="lowerRoman"/>
      <w:lvlText w:val="%9."/>
      <w:lvlJc w:val="right"/>
      <w:pPr>
        <w:ind w:left="7821" w:hanging="180"/>
      </w:pPr>
    </w:lvl>
  </w:abstractNum>
  <w:num w:numId="1" w16cid:durableId="1075204416">
    <w:abstractNumId w:val="17"/>
  </w:num>
  <w:num w:numId="2" w16cid:durableId="2144956900">
    <w:abstractNumId w:val="11"/>
  </w:num>
  <w:num w:numId="3" w16cid:durableId="402065366">
    <w:abstractNumId w:val="0"/>
  </w:num>
  <w:num w:numId="4" w16cid:durableId="603223200">
    <w:abstractNumId w:val="33"/>
  </w:num>
  <w:num w:numId="5" w16cid:durableId="1816096697">
    <w:abstractNumId w:val="34"/>
  </w:num>
  <w:num w:numId="6" w16cid:durableId="877936325">
    <w:abstractNumId w:val="43"/>
  </w:num>
  <w:num w:numId="7" w16cid:durableId="1492134880">
    <w:abstractNumId w:val="5"/>
  </w:num>
  <w:num w:numId="8" w16cid:durableId="55207607">
    <w:abstractNumId w:val="19"/>
  </w:num>
  <w:num w:numId="9" w16cid:durableId="1252352871">
    <w:abstractNumId w:val="22"/>
  </w:num>
  <w:num w:numId="10" w16cid:durableId="302349928">
    <w:abstractNumId w:val="18"/>
  </w:num>
  <w:num w:numId="11" w16cid:durableId="965280588">
    <w:abstractNumId w:val="7"/>
  </w:num>
  <w:num w:numId="12" w16cid:durableId="803498951">
    <w:abstractNumId w:val="4"/>
  </w:num>
  <w:num w:numId="13" w16cid:durableId="1149981229">
    <w:abstractNumId w:val="31"/>
  </w:num>
  <w:num w:numId="14" w16cid:durableId="1270819554">
    <w:abstractNumId w:val="28"/>
  </w:num>
  <w:num w:numId="15" w16cid:durableId="790779197">
    <w:abstractNumId w:val="26"/>
  </w:num>
  <w:num w:numId="16" w16cid:durableId="1288898468">
    <w:abstractNumId w:val="9"/>
  </w:num>
  <w:num w:numId="17" w16cid:durableId="82382714">
    <w:abstractNumId w:val="32"/>
  </w:num>
  <w:num w:numId="18" w16cid:durableId="2033263988">
    <w:abstractNumId w:val="8"/>
  </w:num>
  <w:num w:numId="19" w16cid:durableId="41251085">
    <w:abstractNumId w:val="21"/>
  </w:num>
  <w:num w:numId="20" w16cid:durableId="1444421586">
    <w:abstractNumId w:val="29"/>
  </w:num>
  <w:num w:numId="21" w16cid:durableId="480847335">
    <w:abstractNumId w:val="23"/>
  </w:num>
  <w:num w:numId="22" w16cid:durableId="512188958">
    <w:abstractNumId w:val="40"/>
  </w:num>
  <w:num w:numId="23" w16cid:durableId="800609506">
    <w:abstractNumId w:val="10"/>
  </w:num>
  <w:num w:numId="24" w16cid:durableId="1471557678">
    <w:abstractNumId w:val="27"/>
  </w:num>
  <w:num w:numId="25" w16cid:durableId="624191477">
    <w:abstractNumId w:val="3"/>
  </w:num>
  <w:num w:numId="26" w16cid:durableId="2145653997">
    <w:abstractNumId w:val="39"/>
  </w:num>
  <w:num w:numId="27" w16cid:durableId="1849054310">
    <w:abstractNumId w:val="20"/>
  </w:num>
  <w:num w:numId="28" w16cid:durableId="1271276867">
    <w:abstractNumId w:val="12"/>
  </w:num>
  <w:num w:numId="29" w16cid:durableId="886992392">
    <w:abstractNumId w:val="36"/>
  </w:num>
  <w:num w:numId="30" w16cid:durableId="639652026">
    <w:abstractNumId w:val="14"/>
  </w:num>
  <w:num w:numId="31" w16cid:durableId="1166821549">
    <w:abstractNumId w:val="38"/>
  </w:num>
  <w:num w:numId="32" w16cid:durableId="1395158635">
    <w:abstractNumId w:val="44"/>
  </w:num>
  <w:num w:numId="33" w16cid:durableId="1707363315">
    <w:abstractNumId w:val="42"/>
  </w:num>
  <w:num w:numId="34" w16cid:durableId="1860116514">
    <w:abstractNumId w:val="13"/>
  </w:num>
  <w:num w:numId="35" w16cid:durableId="2136480029">
    <w:abstractNumId w:val="6"/>
  </w:num>
  <w:num w:numId="36" w16cid:durableId="532570717">
    <w:abstractNumId w:val="24"/>
  </w:num>
  <w:num w:numId="37" w16cid:durableId="1857957394">
    <w:abstractNumId w:val="35"/>
  </w:num>
  <w:num w:numId="38" w16cid:durableId="907422879">
    <w:abstractNumId w:val="16"/>
  </w:num>
  <w:num w:numId="39" w16cid:durableId="129054394">
    <w:abstractNumId w:val="1"/>
  </w:num>
  <w:num w:numId="40" w16cid:durableId="1120221785">
    <w:abstractNumId w:val="25"/>
  </w:num>
  <w:num w:numId="41" w16cid:durableId="702680041">
    <w:abstractNumId w:val="30"/>
  </w:num>
  <w:num w:numId="42" w16cid:durableId="1410420312">
    <w:abstractNumId w:val="15"/>
  </w:num>
  <w:num w:numId="43" w16cid:durableId="1445997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9C2"/>
    <w:rsid w:val="00046E92"/>
    <w:rsid w:val="0008680F"/>
    <w:rsid w:val="000C291C"/>
    <w:rsid w:val="000D302F"/>
    <w:rsid w:val="000F47C0"/>
    <w:rsid w:val="001508F0"/>
    <w:rsid w:val="0021192E"/>
    <w:rsid w:val="0022218D"/>
    <w:rsid w:val="00247E2C"/>
    <w:rsid w:val="00271A0D"/>
    <w:rsid w:val="0027446F"/>
    <w:rsid w:val="00281815"/>
    <w:rsid w:val="002D6C53"/>
    <w:rsid w:val="002E2A72"/>
    <w:rsid w:val="002F238A"/>
    <w:rsid w:val="002F5595"/>
    <w:rsid w:val="00317DC1"/>
    <w:rsid w:val="003234B5"/>
    <w:rsid w:val="00334F6A"/>
    <w:rsid w:val="00342AC8"/>
    <w:rsid w:val="00383C98"/>
    <w:rsid w:val="003950F0"/>
    <w:rsid w:val="003A444F"/>
    <w:rsid w:val="003B1ABA"/>
    <w:rsid w:val="003B4550"/>
    <w:rsid w:val="003C640F"/>
    <w:rsid w:val="004132B4"/>
    <w:rsid w:val="00441B88"/>
    <w:rsid w:val="00450397"/>
    <w:rsid w:val="00461253"/>
    <w:rsid w:val="004A1DC4"/>
    <w:rsid w:val="00502AC4"/>
    <w:rsid w:val="005042C2"/>
    <w:rsid w:val="00530913"/>
    <w:rsid w:val="005321DD"/>
    <w:rsid w:val="005359A0"/>
    <w:rsid w:val="00594145"/>
    <w:rsid w:val="005E08DF"/>
    <w:rsid w:val="005E28E1"/>
    <w:rsid w:val="005E5252"/>
    <w:rsid w:val="005E6E38"/>
    <w:rsid w:val="005F2E0B"/>
    <w:rsid w:val="00600D6A"/>
    <w:rsid w:val="00630EAB"/>
    <w:rsid w:val="00671529"/>
    <w:rsid w:val="00691157"/>
    <w:rsid w:val="006961BC"/>
    <w:rsid w:val="006B6980"/>
    <w:rsid w:val="006C0FEF"/>
    <w:rsid w:val="006E4390"/>
    <w:rsid w:val="006F0E17"/>
    <w:rsid w:val="007268F9"/>
    <w:rsid w:val="007269C2"/>
    <w:rsid w:val="00766FF5"/>
    <w:rsid w:val="007B2A95"/>
    <w:rsid w:val="007C52B0"/>
    <w:rsid w:val="007D0E8F"/>
    <w:rsid w:val="00816928"/>
    <w:rsid w:val="0083422E"/>
    <w:rsid w:val="00852D84"/>
    <w:rsid w:val="00855E40"/>
    <w:rsid w:val="0086105F"/>
    <w:rsid w:val="00870626"/>
    <w:rsid w:val="008F07BF"/>
    <w:rsid w:val="009042B1"/>
    <w:rsid w:val="00922AEA"/>
    <w:rsid w:val="009358BE"/>
    <w:rsid w:val="009411B4"/>
    <w:rsid w:val="00945422"/>
    <w:rsid w:val="009776D2"/>
    <w:rsid w:val="009B143A"/>
    <w:rsid w:val="009B46F5"/>
    <w:rsid w:val="009C7535"/>
    <w:rsid w:val="009D0139"/>
    <w:rsid w:val="009E0744"/>
    <w:rsid w:val="009F5CDC"/>
    <w:rsid w:val="00A3582B"/>
    <w:rsid w:val="00A66C96"/>
    <w:rsid w:val="00A75A48"/>
    <w:rsid w:val="00A775CF"/>
    <w:rsid w:val="00A800E0"/>
    <w:rsid w:val="00A85915"/>
    <w:rsid w:val="00AC53BF"/>
    <w:rsid w:val="00AF5251"/>
    <w:rsid w:val="00B06045"/>
    <w:rsid w:val="00B23BC0"/>
    <w:rsid w:val="00B2682C"/>
    <w:rsid w:val="00B275CB"/>
    <w:rsid w:val="00BE04BA"/>
    <w:rsid w:val="00C351D8"/>
    <w:rsid w:val="00C35A27"/>
    <w:rsid w:val="00C9007B"/>
    <w:rsid w:val="00CC3AB5"/>
    <w:rsid w:val="00D87999"/>
    <w:rsid w:val="00DE4F13"/>
    <w:rsid w:val="00E02C2B"/>
    <w:rsid w:val="00E94B76"/>
    <w:rsid w:val="00E9730D"/>
    <w:rsid w:val="00ED5696"/>
    <w:rsid w:val="00ED6C48"/>
    <w:rsid w:val="00F65F5D"/>
    <w:rsid w:val="00F86A3A"/>
    <w:rsid w:val="00FF2E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7B0E4"/>
  <w15:docId w15:val="{3388F7E6-6C77-4BE6-B81F-1B6D2F291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FF5"/>
    <w:pPr>
      <w:suppressAutoHyphens/>
      <w:spacing w:after="0" w:line="240" w:lineRule="atLeast"/>
    </w:pPr>
    <w:rPr>
      <w:rFonts w:ascii="Times New Roman" w:hAnsi="Times New Roman" w:cs="Times New Roman"/>
      <w:sz w:val="20"/>
      <w:szCs w:val="20"/>
      <w:lang w:eastAsia="en-US"/>
    </w:rPr>
  </w:style>
  <w:style w:type="paragraph" w:styleId="Heading1">
    <w:name w:val="heading 1"/>
    <w:aliases w:val="Table_G"/>
    <w:basedOn w:val="SingleTxtG"/>
    <w:next w:val="SingleTxtG"/>
    <w:link w:val="Heading1Char"/>
    <w:semiHidden/>
    <w:qFormat/>
    <w:rsid w:val="007268F9"/>
    <w:pPr>
      <w:spacing w:after="0" w:line="240" w:lineRule="auto"/>
      <w:ind w:right="0"/>
      <w:jc w:val="left"/>
      <w:outlineLvl w:val="0"/>
    </w:pPr>
  </w:style>
  <w:style w:type="paragraph" w:styleId="Heading2">
    <w:name w:val="heading 2"/>
    <w:basedOn w:val="Normal"/>
    <w:next w:val="Normal"/>
    <w:link w:val="Heading2Char"/>
    <w:semiHidden/>
    <w:qFormat/>
    <w:rsid w:val="007268F9"/>
    <w:pPr>
      <w:spacing w:line="240" w:lineRule="auto"/>
      <w:outlineLvl w:val="1"/>
    </w:pPr>
    <w:rPr>
      <w:lang w:eastAsia="zh-CN"/>
    </w:rPr>
  </w:style>
  <w:style w:type="paragraph" w:styleId="Heading3">
    <w:name w:val="heading 3"/>
    <w:basedOn w:val="Normal"/>
    <w:next w:val="Normal"/>
    <w:link w:val="Heading3Char"/>
    <w:semiHidden/>
    <w:qFormat/>
    <w:rsid w:val="007268F9"/>
    <w:pPr>
      <w:spacing w:line="240" w:lineRule="auto"/>
      <w:outlineLvl w:val="2"/>
    </w:pPr>
    <w:rPr>
      <w:lang w:eastAsia="zh-CN"/>
    </w:rPr>
  </w:style>
  <w:style w:type="paragraph" w:styleId="Heading4">
    <w:name w:val="heading 4"/>
    <w:basedOn w:val="Normal"/>
    <w:next w:val="Normal"/>
    <w:link w:val="Heading4Char"/>
    <w:semiHidden/>
    <w:qFormat/>
    <w:rsid w:val="007268F9"/>
    <w:pPr>
      <w:spacing w:line="240" w:lineRule="auto"/>
      <w:outlineLvl w:val="3"/>
    </w:pPr>
    <w:rPr>
      <w:lang w:eastAsia="zh-CN"/>
    </w:rPr>
  </w:style>
  <w:style w:type="paragraph" w:styleId="Heading5">
    <w:name w:val="heading 5"/>
    <w:basedOn w:val="Normal"/>
    <w:next w:val="Normal"/>
    <w:link w:val="Heading5Char"/>
    <w:semiHidden/>
    <w:qFormat/>
    <w:rsid w:val="007268F9"/>
    <w:pPr>
      <w:spacing w:line="240" w:lineRule="auto"/>
      <w:outlineLvl w:val="4"/>
    </w:pPr>
    <w:rPr>
      <w:lang w:eastAsia="zh-CN"/>
    </w:rPr>
  </w:style>
  <w:style w:type="paragraph" w:styleId="Heading6">
    <w:name w:val="heading 6"/>
    <w:basedOn w:val="Normal"/>
    <w:next w:val="Normal"/>
    <w:link w:val="Heading6Char"/>
    <w:semiHidden/>
    <w:qFormat/>
    <w:rsid w:val="007268F9"/>
    <w:pPr>
      <w:spacing w:line="240" w:lineRule="auto"/>
      <w:outlineLvl w:val="5"/>
    </w:pPr>
    <w:rPr>
      <w:lang w:eastAsia="zh-CN"/>
    </w:rPr>
  </w:style>
  <w:style w:type="paragraph" w:styleId="Heading7">
    <w:name w:val="heading 7"/>
    <w:basedOn w:val="Normal"/>
    <w:next w:val="Normal"/>
    <w:link w:val="Heading7Char"/>
    <w:semiHidden/>
    <w:qFormat/>
    <w:rsid w:val="007268F9"/>
    <w:pPr>
      <w:spacing w:line="240" w:lineRule="auto"/>
      <w:outlineLvl w:val="6"/>
    </w:pPr>
    <w:rPr>
      <w:lang w:eastAsia="zh-CN"/>
    </w:rPr>
  </w:style>
  <w:style w:type="paragraph" w:styleId="Heading8">
    <w:name w:val="heading 8"/>
    <w:basedOn w:val="Normal"/>
    <w:next w:val="Normal"/>
    <w:link w:val="Heading8Char"/>
    <w:semiHidden/>
    <w:qFormat/>
    <w:rsid w:val="007268F9"/>
    <w:pPr>
      <w:spacing w:line="240" w:lineRule="auto"/>
      <w:outlineLvl w:val="7"/>
    </w:pPr>
    <w:rPr>
      <w:lang w:eastAsia="zh-CN"/>
    </w:rPr>
  </w:style>
  <w:style w:type="paragraph" w:styleId="Heading9">
    <w:name w:val="heading 9"/>
    <w:basedOn w:val="Normal"/>
    <w:next w:val="Normal"/>
    <w:link w:val="Heading9Char"/>
    <w:semiHidden/>
    <w:qFormat/>
    <w:rsid w:val="007268F9"/>
    <w:pPr>
      <w:spacing w:line="240" w:lineRule="auto"/>
      <w:outlineLvl w:val="8"/>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7268F9"/>
    <w:pPr>
      <w:pBdr>
        <w:bottom w:val="single" w:sz="4" w:space="4" w:color="auto"/>
      </w:pBdr>
      <w:spacing w:line="240" w:lineRule="auto"/>
    </w:pPr>
    <w:rPr>
      <w:b/>
      <w:sz w:val="18"/>
      <w:lang w:eastAsia="zh-CN"/>
    </w:rPr>
  </w:style>
  <w:style w:type="character" w:customStyle="1" w:styleId="HeaderChar">
    <w:name w:val="Header Char"/>
    <w:aliases w:val="6_G Char"/>
    <w:basedOn w:val="DefaultParagraphFont"/>
    <w:link w:val="Header"/>
    <w:rsid w:val="003B4550"/>
    <w:rPr>
      <w:rFonts w:ascii="Times New Roman" w:hAnsi="Times New Roman" w:cs="Times New Roman"/>
      <w:b/>
      <w:sz w:val="18"/>
      <w:szCs w:val="20"/>
    </w:rPr>
  </w:style>
  <w:style w:type="paragraph" w:styleId="Footer">
    <w:name w:val="footer"/>
    <w:aliases w:val="3_G"/>
    <w:basedOn w:val="Normal"/>
    <w:link w:val="FooterChar"/>
    <w:semiHidden/>
    <w:rsid w:val="007268F9"/>
    <w:pPr>
      <w:spacing w:line="240" w:lineRule="auto"/>
    </w:pPr>
    <w:rPr>
      <w:sz w:val="16"/>
      <w:lang w:eastAsia="zh-CN"/>
    </w:rPr>
  </w:style>
  <w:style w:type="character" w:customStyle="1" w:styleId="FooterChar">
    <w:name w:val="Footer Char"/>
    <w:aliases w:val="3_G Char"/>
    <w:basedOn w:val="DefaultParagraphFont"/>
    <w:link w:val="Footer"/>
    <w:semiHidden/>
    <w:rsid w:val="00766FF5"/>
    <w:rPr>
      <w:rFonts w:ascii="Times New Roman" w:hAnsi="Times New Roman" w:cs="Times New Roman"/>
      <w:sz w:val="16"/>
      <w:szCs w:val="20"/>
    </w:rPr>
  </w:style>
  <w:style w:type="paragraph" w:customStyle="1" w:styleId="HMG">
    <w:name w:val="_ H __M_G"/>
    <w:basedOn w:val="Normal"/>
    <w:next w:val="Normal"/>
    <w:qFormat/>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Normal"/>
    <w:next w:val="Normal"/>
    <w:qFormat/>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Normal"/>
    <w:next w:val="Normal"/>
    <w:link w:val="H1GChar"/>
    <w:qFormat/>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Normal"/>
    <w:next w:val="Normal"/>
    <w:link w:val="H23GChar"/>
    <w:qFormat/>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Normal"/>
    <w:next w:val="Normal"/>
    <w:qFormat/>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Normal"/>
    <w:next w:val="Normal"/>
    <w:qFormat/>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Normal"/>
    <w:link w:val="SingleTxtGChar"/>
    <w:qFormat/>
    <w:rsid w:val="000C291C"/>
    <w:pPr>
      <w:tabs>
        <w:tab w:val="left" w:pos="1701"/>
        <w:tab w:val="left" w:pos="2268"/>
      </w:tabs>
      <w:spacing w:after="120"/>
      <w:ind w:left="1134" w:right="1134"/>
      <w:jc w:val="both"/>
    </w:pPr>
    <w:rPr>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lang w:eastAsia="zh-CN"/>
    </w:rPr>
  </w:style>
  <w:style w:type="paragraph" w:customStyle="1" w:styleId="SMG">
    <w:name w:val="__S_M_G"/>
    <w:basedOn w:val="Normal"/>
    <w:next w:val="Normal"/>
    <w:rsid w:val="007268F9"/>
    <w:pPr>
      <w:keepNext/>
      <w:keepLines/>
      <w:spacing w:before="240" w:after="240" w:line="420" w:lineRule="exact"/>
      <w:ind w:left="1134" w:right="1134"/>
    </w:pPr>
    <w:rPr>
      <w:b/>
      <w:sz w:val="40"/>
      <w:lang w:eastAsia="zh-CN"/>
    </w:rPr>
  </w:style>
  <w:style w:type="paragraph" w:customStyle="1" w:styleId="SSG">
    <w:name w:val="__S_S_G"/>
    <w:basedOn w:val="Normal"/>
    <w:next w:val="Normal"/>
    <w:rsid w:val="007268F9"/>
    <w:pPr>
      <w:keepNext/>
      <w:keepLines/>
      <w:spacing w:before="240" w:after="240" w:line="300" w:lineRule="exact"/>
      <w:ind w:left="1134" w:right="1134"/>
    </w:pPr>
    <w:rPr>
      <w:b/>
      <w:sz w:val="28"/>
      <w:lang w:eastAsia="zh-CN"/>
    </w:rPr>
  </w:style>
  <w:style w:type="paragraph" w:customStyle="1" w:styleId="XLargeG">
    <w:name w:val="__XLarge_G"/>
    <w:basedOn w:val="Normal"/>
    <w:next w:val="Normal"/>
    <w:rsid w:val="007268F9"/>
    <w:pPr>
      <w:keepNext/>
      <w:keepLines/>
      <w:spacing w:before="240" w:after="240" w:line="420" w:lineRule="exact"/>
      <w:ind w:left="1134" w:right="1134"/>
    </w:pPr>
    <w:rPr>
      <w:b/>
      <w:sz w:val="40"/>
      <w:lang w:eastAsia="zh-CN"/>
    </w:rPr>
  </w:style>
  <w:style w:type="paragraph" w:customStyle="1" w:styleId="Bullet1G">
    <w:name w:val="_Bullet 1_G"/>
    <w:basedOn w:val="Normal"/>
    <w:qFormat/>
    <w:rsid w:val="007268F9"/>
    <w:pPr>
      <w:numPr>
        <w:numId w:val="1"/>
      </w:numPr>
      <w:spacing w:after="120"/>
      <w:ind w:right="1134"/>
      <w:jc w:val="both"/>
    </w:pPr>
    <w:rPr>
      <w:lang w:eastAsia="zh-CN"/>
    </w:rPr>
  </w:style>
  <w:style w:type="paragraph" w:customStyle="1" w:styleId="Bullet2G">
    <w:name w:val="_Bullet 2_G"/>
    <w:basedOn w:val="Normal"/>
    <w:qFormat/>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7268F9"/>
    <w:rPr>
      <w:rFonts w:ascii="Times New Roman" w:hAnsi="Times New Roman"/>
      <w:sz w:val="18"/>
      <w:vertAlign w:val="superscript"/>
    </w:rPr>
  </w:style>
  <w:style w:type="paragraph" w:styleId="FootnoteText">
    <w:name w:val="footnote text"/>
    <w:aliases w:val="5_G"/>
    <w:basedOn w:val="Normal"/>
    <w:link w:val="FootnoteTextChar"/>
    <w:rsid w:val="00766FF5"/>
    <w:pPr>
      <w:tabs>
        <w:tab w:val="right" w:pos="1021"/>
      </w:tabs>
      <w:suppressAutoHyphens w:val="0"/>
      <w:spacing w:line="220" w:lineRule="exact"/>
      <w:ind w:left="1134" w:right="1134" w:hanging="1134"/>
    </w:pPr>
    <w:rPr>
      <w:sz w:val="18"/>
      <w:lang w:eastAsia="zh-CN"/>
    </w:rPr>
  </w:style>
  <w:style w:type="character" w:customStyle="1" w:styleId="FootnoteTextChar">
    <w:name w:val="Footnote Text Char"/>
    <w:aliases w:val="5_G Char"/>
    <w:basedOn w:val="DefaultParagraphFont"/>
    <w:link w:val="FootnoteText"/>
    <w:rsid w:val="00766FF5"/>
    <w:rPr>
      <w:rFonts w:ascii="Times New Roman" w:hAnsi="Times New Roman" w:cs="Times New Roman"/>
      <w:sz w:val="18"/>
      <w:szCs w:val="20"/>
    </w:rPr>
  </w:style>
  <w:style w:type="paragraph" w:styleId="EndnoteText">
    <w:name w:val="endnote text"/>
    <w:aliases w:val="2_G"/>
    <w:basedOn w:val="FootnoteText"/>
    <w:link w:val="EndnoteTextChar"/>
    <w:qFormat/>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
    <w:rsid w:val="00766FF5"/>
    <w:rPr>
      <w:rFonts w:ascii="Times New Roman" w:hAnsi="Times New Roman"/>
      <w:sz w:val="18"/>
      <w:vertAlign w:val="superscript"/>
    </w:rPr>
  </w:style>
  <w:style w:type="character" w:customStyle="1" w:styleId="Heading1Char">
    <w:name w:val="Heading 1 Char"/>
    <w:aliases w:val="Table_G Char"/>
    <w:basedOn w:val="DefaultParagraphFont"/>
    <w:link w:val="Heading1"/>
    <w:semiHidden/>
    <w:rsid w:val="00766FF5"/>
    <w:rPr>
      <w:rFonts w:ascii="Times New Roman" w:hAnsi="Times New Roman" w:cs="Times New Roman"/>
      <w:sz w:val="20"/>
      <w:szCs w:val="20"/>
    </w:rPr>
  </w:style>
  <w:style w:type="character" w:customStyle="1" w:styleId="Heading2Char">
    <w:name w:val="Heading 2 Char"/>
    <w:basedOn w:val="DefaultParagraphFont"/>
    <w:link w:val="Heading2"/>
    <w:semiHidden/>
    <w:rsid w:val="003B4550"/>
    <w:rPr>
      <w:rFonts w:ascii="Times New Roman" w:hAnsi="Times New Roman" w:cs="Times New Roman"/>
      <w:sz w:val="20"/>
      <w:szCs w:val="20"/>
    </w:rPr>
  </w:style>
  <w:style w:type="character" w:customStyle="1" w:styleId="Heading3Char">
    <w:name w:val="Heading 3 Char"/>
    <w:basedOn w:val="DefaultParagraphFont"/>
    <w:link w:val="Heading3"/>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qFormat/>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007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07B"/>
    <w:rPr>
      <w:rFonts w:ascii="Tahoma" w:hAnsi="Tahoma" w:cs="Tahoma"/>
      <w:sz w:val="16"/>
      <w:szCs w:val="16"/>
      <w:lang w:eastAsia="en-US"/>
    </w:rPr>
  </w:style>
  <w:style w:type="character" w:customStyle="1" w:styleId="SingleTxtGChar">
    <w:name w:val="_ Single Txt_G Char"/>
    <w:basedOn w:val="DefaultParagraphFont"/>
    <w:link w:val="SingleTxtG"/>
    <w:rsid w:val="000C291C"/>
    <w:rPr>
      <w:rFonts w:ascii="Times New Roman" w:hAnsi="Times New Roman" w:cs="Times New Roman"/>
      <w:sz w:val="20"/>
      <w:szCs w:val="20"/>
    </w:rPr>
  </w:style>
  <w:style w:type="character" w:styleId="Hyperlink">
    <w:name w:val="Hyperlink"/>
    <w:basedOn w:val="DefaultParagraphFont"/>
    <w:rsid w:val="00766FF5"/>
    <w:rPr>
      <w:color w:val="0000FF"/>
      <w:u w:val="none"/>
    </w:rPr>
  </w:style>
  <w:style w:type="character" w:customStyle="1" w:styleId="H23GChar">
    <w:name w:val="_ H_2/3_G Char"/>
    <w:link w:val="H23G"/>
    <w:locked/>
    <w:rsid w:val="00766FF5"/>
    <w:rPr>
      <w:rFonts w:ascii="Times New Roman" w:hAnsi="Times New Roman" w:cs="Times New Roman"/>
      <w:b/>
      <w:sz w:val="20"/>
      <w:szCs w:val="20"/>
    </w:rPr>
  </w:style>
  <w:style w:type="character" w:customStyle="1" w:styleId="H1GChar">
    <w:name w:val="_ H_1_G Char"/>
    <w:link w:val="H1G"/>
    <w:locked/>
    <w:rsid w:val="00766FF5"/>
    <w:rPr>
      <w:rFonts w:ascii="Times New Roman" w:hAnsi="Times New Roman" w:cs="Times New Roman"/>
      <w:b/>
      <w:sz w:val="24"/>
      <w:szCs w:val="20"/>
    </w:rPr>
  </w:style>
  <w:style w:type="paragraph" w:styleId="Revision">
    <w:name w:val="Revision"/>
    <w:hidden/>
    <w:uiPriority w:val="99"/>
    <w:semiHidden/>
    <w:rsid w:val="00766FF5"/>
    <w:pPr>
      <w:spacing w:after="0" w:line="240" w:lineRule="auto"/>
    </w:pPr>
    <w:rPr>
      <w:rFonts w:ascii="Times New Roman" w:eastAsia="Times New Roman" w:hAnsi="Times New Roman" w:cs="Times New Roman"/>
      <w:sz w:val="20"/>
      <w:szCs w:val="20"/>
      <w:lang w:eastAsia="en-US"/>
    </w:rPr>
  </w:style>
  <w:style w:type="character" w:styleId="FollowedHyperlink">
    <w:name w:val="FollowedHyperlink"/>
    <w:basedOn w:val="DefaultParagraphFont"/>
    <w:uiPriority w:val="99"/>
    <w:semiHidden/>
    <w:unhideWhenUsed/>
    <w:rsid w:val="00766FF5"/>
    <w:rPr>
      <w:color w:val="0000FF"/>
      <w:u w:val="single"/>
    </w:rPr>
  </w:style>
  <w:style w:type="character" w:styleId="UnresolvedMention">
    <w:name w:val="Unresolved Mention"/>
    <w:basedOn w:val="DefaultParagraphFont"/>
    <w:uiPriority w:val="99"/>
    <w:semiHidden/>
    <w:unhideWhenUsed/>
    <w:rsid w:val="00ED5696"/>
    <w:rPr>
      <w:color w:val="605E5C"/>
      <w:shd w:val="clear" w:color="auto" w:fill="E1DFDD"/>
    </w:rPr>
  </w:style>
  <w:style w:type="character" w:styleId="CommentReference">
    <w:name w:val="annotation reference"/>
    <w:basedOn w:val="DefaultParagraphFont"/>
    <w:uiPriority w:val="99"/>
    <w:semiHidden/>
    <w:unhideWhenUsed/>
    <w:rsid w:val="003234B5"/>
    <w:rPr>
      <w:sz w:val="16"/>
      <w:szCs w:val="16"/>
    </w:rPr>
  </w:style>
  <w:style w:type="paragraph" w:styleId="CommentText">
    <w:name w:val="annotation text"/>
    <w:basedOn w:val="Normal"/>
    <w:link w:val="CommentTextChar"/>
    <w:uiPriority w:val="99"/>
    <w:unhideWhenUsed/>
    <w:rsid w:val="003234B5"/>
    <w:pPr>
      <w:spacing w:line="240" w:lineRule="auto"/>
    </w:pPr>
  </w:style>
  <w:style w:type="character" w:customStyle="1" w:styleId="CommentTextChar">
    <w:name w:val="Comment Text Char"/>
    <w:basedOn w:val="DefaultParagraphFont"/>
    <w:link w:val="CommentText"/>
    <w:uiPriority w:val="99"/>
    <w:rsid w:val="003234B5"/>
    <w:rPr>
      <w:rFonts w:ascii="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3234B5"/>
    <w:rPr>
      <w:b/>
      <w:bCs/>
    </w:rPr>
  </w:style>
  <w:style w:type="character" w:customStyle="1" w:styleId="CommentSubjectChar">
    <w:name w:val="Comment Subject Char"/>
    <w:basedOn w:val="CommentTextChar"/>
    <w:link w:val="CommentSubject"/>
    <w:uiPriority w:val="99"/>
    <w:semiHidden/>
    <w:rsid w:val="003234B5"/>
    <w:rPr>
      <w:rFonts w:ascii="Times New Roman" w:hAnsi="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3" Type="http://schemas.openxmlformats.org/officeDocument/2006/relationships/hyperlink" Target="https://docs.un.org/en/CRPD/C/AUS/CO/2-3" TargetMode="External"/><Relationship Id="rId18" Type="http://schemas.openxmlformats.org/officeDocument/2006/relationships/hyperlink" Target="https://docs.un.org/en/CRPD/C/PER/CO/2-3" TargetMode="External"/><Relationship Id="rId26" Type="http://schemas.openxmlformats.org/officeDocument/2006/relationships/hyperlink" Target="https://docs.un.org/en/CRPD/C/27/2" TargetMode="External"/><Relationship Id="rId39" Type="http://schemas.openxmlformats.org/officeDocument/2006/relationships/hyperlink" Target="https://docs.un.org/en/A/HRC/43/49" TargetMode="External"/><Relationship Id="rId21" Type="http://schemas.openxmlformats.org/officeDocument/2006/relationships/hyperlink" Target="https://docs.un.org/en/CRPD/C/27/2" TargetMode="External"/><Relationship Id="rId34" Type="http://schemas.openxmlformats.org/officeDocument/2006/relationships/hyperlink" Target="https://docs.un.org/en/CRPD/C/MEX/IR/1" TargetMode="External"/><Relationship Id="rId42" Type="http://schemas.openxmlformats.org/officeDocument/2006/relationships/hyperlink" Target="https://docs.un.org/en/CRPD/C/AUS/CO/2-3" TargetMode="External"/><Relationship Id="rId47" Type="http://schemas.openxmlformats.org/officeDocument/2006/relationships/hyperlink" Target="https://www.ohchr.org/sites/default/files/documents/countries/myanmar/A-HRC-61-CRP-1-en.pdf" TargetMode="External"/><Relationship Id="rId50" Type="http://schemas.openxmlformats.org/officeDocument/2006/relationships/hyperlink" Target="https://docs.un.org/en/CRPD/C/CYP/CO/1" TargetMode="External"/><Relationship Id="rId55" Type="http://schemas.openxmlformats.org/officeDocument/2006/relationships/hyperlink" Target="https://docs.un.org/en/CRPD/C/TUV/CO/1" TargetMode="External"/><Relationship Id="rId63" Type="http://schemas.openxmlformats.org/officeDocument/2006/relationships/hyperlink" Target="https://docs.un.org/en/CRPD/C/AUT/CO/2-3" TargetMode="External"/><Relationship Id="rId68" Type="http://schemas.openxmlformats.org/officeDocument/2006/relationships/hyperlink" Target="https://docs.un.org/en/CRPD/C/15/4" TargetMode="External"/><Relationship Id="rId76" Type="http://schemas.openxmlformats.org/officeDocument/2006/relationships/hyperlink" Target="https://docs.un.org/en/CRPD/C/DOM/CO/2-3" TargetMode="External"/><Relationship Id="rId7" Type="http://schemas.openxmlformats.org/officeDocument/2006/relationships/hyperlink" Target="https://docs.un.org/en/CRPD/C/MEX/IR/1" TargetMode="External"/><Relationship Id="rId71" Type="http://schemas.openxmlformats.org/officeDocument/2006/relationships/hyperlink" Target="https://docs.un.org/en/CRPD/C/15/4/Corr.1" TargetMode="External"/><Relationship Id="rId2" Type="http://schemas.openxmlformats.org/officeDocument/2006/relationships/hyperlink" Target="https://docs.un.org/en/CRPD/C/ESP/IR/1" TargetMode="External"/><Relationship Id="rId16" Type="http://schemas.openxmlformats.org/officeDocument/2006/relationships/hyperlink" Target="https://docs.un.org/en/A/72/133" TargetMode="External"/><Relationship Id="rId29" Type="http://schemas.openxmlformats.org/officeDocument/2006/relationships/hyperlink" Target="https://docs.un.org/en/A/HRC/56/61/Add.3/Corr.1" TargetMode="External"/><Relationship Id="rId11" Type="http://schemas.openxmlformats.org/officeDocument/2006/relationships/hyperlink" Target="https://docs.un.org/en/CRPD/C/15/4" TargetMode="External"/><Relationship Id="rId24" Type="http://schemas.openxmlformats.org/officeDocument/2006/relationships/hyperlink" Target="https://docs.un.org/en/CRPD/C/TUR/CO/1" TargetMode="External"/><Relationship Id="rId32" Type="http://schemas.openxmlformats.org/officeDocument/2006/relationships/hyperlink" Target="https://docs.un.org/en/CRPD/C/HUN/CO/2-3" TargetMode="External"/><Relationship Id="rId37" Type="http://schemas.openxmlformats.org/officeDocument/2006/relationships/hyperlink" Target="https://docs.un.org/en/CRPD/C/16/D/7/2012" TargetMode="External"/><Relationship Id="rId40" Type="http://schemas.openxmlformats.org/officeDocument/2006/relationships/hyperlink" Target="https://docs.un.org/en/CRPD/C/CRI/CO/1" TargetMode="External"/><Relationship Id="rId45" Type="http://schemas.openxmlformats.org/officeDocument/2006/relationships/hyperlink" Target="https://docs.un.org/en/A/HRC/56/61/Add.3/Corr.1" TargetMode="External"/><Relationship Id="rId53" Type="http://schemas.openxmlformats.org/officeDocument/2006/relationships/hyperlink" Target="https://docs.un.org/en/CRPD/C/27/2" TargetMode="External"/><Relationship Id="rId58" Type="http://schemas.openxmlformats.org/officeDocument/2006/relationships/hyperlink" Target="https://docs.un.org/en/CRPD/C/CAN/CO/2-3" TargetMode="External"/><Relationship Id="rId66" Type="http://schemas.openxmlformats.org/officeDocument/2006/relationships/hyperlink" Target="https://docs.un.org/en/CRPD/C/EU/CO/2-3" TargetMode="External"/><Relationship Id="rId74" Type="http://schemas.openxmlformats.org/officeDocument/2006/relationships/hyperlink" Target="https://docs.un.org/en/CRPD/C/FRA/CO/1" TargetMode="External"/><Relationship Id="rId79" Type="http://schemas.openxmlformats.org/officeDocument/2006/relationships/hyperlink" Target="https://docs.un.org/en/CRPD/C/PRY/CO/1" TargetMode="External"/><Relationship Id="rId5" Type="http://schemas.openxmlformats.org/officeDocument/2006/relationships/hyperlink" Target="https://docs.un.org/en/A/HRC/43/41" TargetMode="External"/><Relationship Id="rId61" Type="http://schemas.openxmlformats.org/officeDocument/2006/relationships/hyperlink" Target="https://docs.un.org/en/CRPD/C/22/D/24/2014" TargetMode="External"/><Relationship Id="rId82" Type="http://schemas.openxmlformats.org/officeDocument/2006/relationships/hyperlink" Target="https://docs.un.org/en/CRPD/C/IDN/CO/1" TargetMode="External"/><Relationship Id="rId10" Type="http://schemas.openxmlformats.org/officeDocument/2006/relationships/hyperlink" Target="https://docs.un.org/en/CRPD/C/ESP/IR/1" TargetMode="External"/><Relationship Id="rId19" Type="http://schemas.openxmlformats.org/officeDocument/2006/relationships/hyperlink" Target="https://docs.un.org/en/CRPD/C/AUS/CO/2-3" TargetMode="External"/><Relationship Id="rId31" Type="http://schemas.openxmlformats.org/officeDocument/2006/relationships/hyperlink" Target="https://docs.un.org/en/CRPD/C/34/D/78/2020" TargetMode="External"/><Relationship Id="rId44" Type="http://schemas.openxmlformats.org/officeDocument/2006/relationships/hyperlink" Target="https://docs.un.org/en/A/HRC/56/61/Add.3" TargetMode="External"/><Relationship Id="rId52" Type="http://schemas.openxmlformats.org/officeDocument/2006/relationships/hyperlink" Target="https://docs.un.org/en/CRPD/C/33/2" TargetMode="External"/><Relationship Id="rId60" Type="http://schemas.openxmlformats.org/officeDocument/2006/relationships/hyperlink" Target="https://docs.un.org/en/CRPD/C/20/D/23/2014" TargetMode="External"/><Relationship Id="rId65" Type="http://schemas.openxmlformats.org/officeDocument/2006/relationships/hyperlink" Target="https://docs.un.org/en/CRPD/C/NLD/CO/1" TargetMode="External"/><Relationship Id="rId73" Type="http://schemas.openxmlformats.org/officeDocument/2006/relationships/hyperlink" Target="https://docs.un.org/en/CRPD/C/ISR/CO/1" TargetMode="External"/><Relationship Id="rId78" Type="http://schemas.openxmlformats.org/officeDocument/2006/relationships/hyperlink" Target="https://docs.un.org/en/CRPD/C/THA/CO/1" TargetMode="External"/><Relationship Id="rId81" Type="http://schemas.openxmlformats.org/officeDocument/2006/relationships/hyperlink" Target="https://docs.un.org/en/CRPD/C/MNG/CO/2-3" TargetMode="External"/><Relationship Id="rId4" Type="http://schemas.openxmlformats.org/officeDocument/2006/relationships/hyperlink" Target="https://docs.un.org/en/CRPD/C/5" TargetMode="External"/><Relationship Id="rId9" Type="http://schemas.openxmlformats.org/officeDocument/2006/relationships/hyperlink" Target="https://docs.un.org/en/CRPD/C/HUN/IR/1/Corr.1" TargetMode="External"/><Relationship Id="rId14" Type="http://schemas.openxmlformats.org/officeDocument/2006/relationships/hyperlink" Target="https://docs.un.org/en/CRPD/C/BGD/CO/1" TargetMode="External"/><Relationship Id="rId22" Type="http://schemas.openxmlformats.org/officeDocument/2006/relationships/hyperlink" Target="https://docs.un.org/en/CRPD/C/UKR/CO/2-3" TargetMode="External"/><Relationship Id="rId27" Type="http://schemas.openxmlformats.org/officeDocument/2006/relationships/hyperlink" Target="https://docs.un.org/en/CRPD/C/UKR/CO/2-3" TargetMode="External"/><Relationship Id="rId30" Type="http://schemas.openxmlformats.org/officeDocument/2006/relationships/hyperlink" Target="https://docs.un.org/en/CRPD/C/HUN/IR/1" TargetMode="External"/><Relationship Id="rId35" Type="http://schemas.openxmlformats.org/officeDocument/2006/relationships/hyperlink" Target="https://docs.un.org/en/CRPD/C/KAZ/CO/1" TargetMode="External"/><Relationship Id="rId43" Type="http://schemas.openxmlformats.org/officeDocument/2006/relationships/hyperlink" Target="https://docs.un.org/en/CRPD/C/ISR/CO/1" TargetMode="External"/><Relationship Id="rId48" Type="http://schemas.openxmlformats.org/officeDocument/2006/relationships/hyperlink" Target="https://docs.un.org/en/CRPD/C/33/2" TargetMode="External"/><Relationship Id="rId56" Type="http://schemas.openxmlformats.org/officeDocument/2006/relationships/hyperlink" Target="https://docs.un.org/en/CRPD/C/PLW/CO/1" TargetMode="External"/><Relationship Id="rId64" Type="http://schemas.openxmlformats.org/officeDocument/2006/relationships/hyperlink" Target="https://docs.un.org/en/CRPD/C/AUT/CO/2-3/Corr.1" TargetMode="External"/><Relationship Id="rId69" Type="http://schemas.openxmlformats.org/officeDocument/2006/relationships/hyperlink" Target="https://docs.un.org/en/CRPD/C/15/4/Corr.1" TargetMode="External"/><Relationship Id="rId77" Type="http://schemas.openxmlformats.org/officeDocument/2006/relationships/hyperlink" Target="https://docs.un.org/en/CRPD/C/BFA/CO/1" TargetMode="External"/><Relationship Id="rId8" Type="http://schemas.openxmlformats.org/officeDocument/2006/relationships/hyperlink" Target="https://docs.un.org/en/CRPD/C/HUN/IR/1" TargetMode="External"/><Relationship Id="rId51" Type="http://schemas.openxmlformats.org/officeDocument/2006/relationships/hyperlink" Target="https://docs.un.org/en/A/HRC/57/22" TargetMode="External"/><Relationship Id="rId72" Type="http://schemas.openxmlformats.org/officeDocument/2006/relationships/hyperlink" Target="https://docs.un.org/en/CRPD/C/MWI/CO/1-2" TargetMode="External"/><Relationship Id="rId80" Type="http://schemas.openxmlformats.org/officeDocument/2006/relationships/hyperlink" Target="https://docs.un.org/en/CRPD/C/AZE/CO/2-3" TargetMode="External"/><Relationship Id="rId3" Type="http://schemas.openxmlformats.org/officeDocument/2006/relationships/hyperlink" Target="https://docs.un.org/en/A/72/55" TargetMode="External"/><Relationship Id="rId12" Type="http://schemas.openxmlformats.org/officeDocument/2006/relationships/hyperlink" Target="https://docs.un.org/en/CRPD/C/15/4/Corr.1" TargetMode="External"/><Relationship Id="rId17" Type="http://schemas.openxmlformats.org/officeDocument/2006/relationships/hyperlink" Target="https://docs.un.org/en/A/74/186" TargetMode="External"/><Relationship Id="rId25" Type="http://schemas.openxmlformats.org/officeDocument/2006/relationships/hyperlink" Target="https://docs.un.org/en/CRPD/C/DJI/CO/1" TargetMode="External"/><Relationship Id="rId33" Type="http://schemas.openxmlformats.org/officeDocument/2006/relationships/hyperlink" Target="https://docs.un.org/en/CRPD/C/BGR/CO/1" TargetMode="External"/><Relationship Id="rId38" Type="http://schemas.openxmlformats.org/officeDocument/2006/relationships/hyperlink" Target="https://docs.un.org/en/A/63/175" TargetMode="External"/><Relationship Id="rId46" Type="http://schemas.openxmlformats.org/officeDocument/2006/relationships/hyperlink" Target="https://docs.un.org/en/CRPD/C/MEX/IR/1" TargetMode="External"/><Relationship Id="rId59" Type="http://schemas.openxmlformats.org/officeDocument/2006/relationships/hyperlink" Target="https://docs.un.org/en/A/HRC/61/58" TargetMode="External"/><Relationship Id="rId67" Type="http://schemas.openxmlformats.org/officeDocument/2006/relationships/hyperlink" Target="https://docs.un.org/en/CRPD/C/GBR/RFIR/1" TargetMode="External"/><Relationship Id="rId20" Type="http://schemas.openxmlformats.org/officeDocument/2006/relationships/hyperlink" Target="https://docs.un.org/en/CRPD/C/KAZ/CO/1" TargetMode="External"/><Relationship Id="rId41" Type="http://schemas.openxmlformats.org/officeDocument/2006/relationships/hyperlink" Target="https://docs.un.org/en/CRPD/C/DEU/CO/2-3" TargetMode="External"/><Relationship Id="rId54" Type="http://schemas.openxmlformats.org/officeDocument/2006/relationships/hyperlink" Target="https://docs.un.org/en/CRPD/C/COL/CO/1" TargetMode="External"/><Relationship Id="rId62" Type="http://schemas.openxmlformats.org/officeDocument/2006/relationships/hyperlink" Target="https://docs.un.org/en/CRPD/C/GBR/CO/1" TargetMode="External"/><Relationship Id="rId70" Type="http://schemas.openxmlformats.org/officeDocument/2006/relationships/hyperlink" Target="https://docs.un.org/en/CRPD/C/15/4" TargetMode="External"/><Relationship Id="rId75" Type="http://schemas.openxmlformats.org/officeDocument/2006/relationships/hyperlink" Target="https://docs.un.org/en/CRPD/C/CAN/CO/2-3" TargetMode="External"/><Relationship Id="rId1" Type="http://schemas.openxmlformats.org/officeDocument/2006/relationships/hyperlink" Target="https://www.ohchr.org/en/documents/tools-and-resources/harmful-practices-gender-based-violence-against-women-and-girls-cedaw" TargetMode="External"/><Relationship Id="rId6" Type="http://schemas.openxmlformats.org/officeDocument/2006/relationships/hyperlink" Target="https://docs.un.org/en/CRPD/C/HTI/CO/1" TargetMode="External"/><Relationship Id="rId15" Type="http://schemas.openxmlformats.org/officeDocument/2006/relationships/hyperlink" Target="https://docs.un.org/en/CRPD/C/MEX/IR/1" TargetMode="External"/><Relationship Id="rId23" Type="http://schemas.openxmlformats.org/officeDocument/2006/relationships/hyperlink" Target="https://docs.un.org/en/CRPD/C/IRQ/CO/1" TargetMode="External"/><Relationship Id="rId28" Type="http://schemas.openxmlformats.org/officeDocument/2006/relationships/hyperlink" Target="https://docs.un.org/en/A/HRC/56/61/Add.3" TargetMode="External"/><Relationship Id="rId36" Type="http://schemas.openxmlformats.org/officeDocument/2006/relationships/hyperlink" Target="https://docs.un.org/en/CRPD/C/18/D/22/2014" TargetMode="External"/><Relationship Id="rId49" Type="http://schemas.openxmlformats.org/officeDocument/2006/relationships/hyperlink" Target="https://docs.un.org/en/CRPD/C/27/2" TargetMode="External"/><Relationship Id="rId57" Type="http://schemas.openxmlformats.org/officeDocument/2006/relationships/hyperlink" Target="https://docs.un.org/en/CRPD/C/MDV/CO/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maytan\United%20Nations\UNOG_DCM-LGS-MTS-EDPU%20-%20PDocs\MACROS\COVERPAGES\CRP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b32321-44da-4c62-ad0f-14b4f1faba7c">
      <Terms xmlns="http://schemas.microsoft.com/office/infopath/2007/PartnerControls"/>
    </lcf76f155ced4ddcb4097134ff3c332f>
    <TaxCatchAll xmlns="985ec44e-1bab-4c0b-9df0-6ba128686fc9" xsi:nil="true"/>
    <Author0 xmlns="1eb32321-44da-4c62-ad0f-14b4f1faba7c">
      <UserInfo>
        <DisplayName/>
        <AccountId xsi:nil="true"/>
        <AccountType/>
      </UserInfo>
    </Author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34BCCF75FF83A44BFF3683CDB9015E4" ma:contentTypeVersion="18" ma:contentTypeDescription="Create a new document." ma:contentTypeScope="" ma:versionID="36ec4d2613bc9c012b4f6a02e6dd6661">
  <xsd:schema xmlns:xsd="http://www.w3.org/2001/XMLSchema" xmlns:xs="http://www.w3.org/2001/XMLSchema" xmlns:p="http://schemas.microsoft.com/office/2006/metadata/properties" xmlns:ns2="1eb32321-44da-4c62-ad0f-14b4f1faba7c" xmlns:ns3="b5eadae6-6b7d-492b-8412-8c966af60245" xmlns:ns4="985ec44e-1bab-4c0b-9df0-6ba128686fc9" targetNamespace="http://schemas.microsoft.com/office/2006/metadata/properties" ma:root="true" ma:fieldsID="40d9079292bd9bac405b4fc9cd818434" ns2:_="" ns3:_="" ns4:_="">
    <xsd:import namespace="1eb32321-44da-4c62-ad0f-14b4f1faba7c"/>
    <xsd:import namespace="b5eadae6-6b7d-492b-8412-8c966af60245"/>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ServiceObjectDetectorVersions" minOccurs="0"/>
                <xsd:element ref="ns2:MediaServiceSearchProperties" minOccurs="0"/>
                <xsd:element ref="ns2:lcf76f155ced4ddcb4097134ff3c332f" minOccurs="0"/>
                <xsd:element ref="ns4:TaxCatchAll" minOccurs="0"/>
                <xsd:element ref="ns2:MediaServiceBillingMetadata" minOccurs="0"/>
                <xsd:element ref="ns2:Autho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b32321-44da-4c62-ad0f-14b4f1fab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element name="Author0" ma:index="25"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eadae6-6b7d-492b-8412-8c966af6024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781204b-7045-4aa7-917c-7cc50d755363}" ma:internalName="TaxCatchAll" ma:showField="CatchAllData" ma:web="b5eadae6-6b7d-492b-8412-8c966af602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1D6A73-ECE8-4DE2-9C68-3AE1EFDEBAD2}">
  <ds:schemaRefs>
    <ds:schemaRef ds:uri="http://schemas.openxmlformats.org/officeDocument/2006/bibliography"/>
  </ds:schemaRefs>
</ds:datastoreItem>
</file>

<file path=customXml/itemProps2.xml><?xml version="1.0" encoding="utf-8"?>
<ds:datastoreItem xmlns:ds="http://schemas.openxmlformats.org/officeDocument/2006/customXml" ds:itemID="{B8F7F340-C6B6-4C08-A4BE-1826223D7B53}">
  <ds:schemaRefs>
    <ds:schemaRef ds:uri="http://schemas.microsoft.com/office/2006/metadata/properties"/>
    <ds:schemaRef ds:uri="http://schemas.microsoft.com/office/infopath/2007/PartnerControls"/>
    <ds:schemaRef ds:uri="1eb32321-44da-4c62-ad0f-14b4f1faba7c"/>
    <ds:schemaRef ds:uri="985ec44e-1bab-4c0b-9df0-6ba128686fc9"/>
  </ds:schemaRefs>
</ds:datastoreItem>
</file>

<file path=customXml/itemProps3.xml><?xml version="1.0" encoding="utf-8"?>
<ds:datastoreItem xmlns:ds="http://schemas.openxmlformats.org/officeDocument/2006/customXml" ds:itemID="{E1AFDFEA-8001-4329-9330-4F37A971493E}">
  <ds:schemaRefs>
    <ds:schemaRef ds:uri="http://schemas.microsoft.com/sharepoint/v3/contenttype/forms"/>
  </ds:schemaRefs>
</ds:datastoreItem>
</file>

<file path=customXml/itemProps4.xml><?xml version="1.0" encoding="utf-8"?>
<ds:datastoreItem xmlns:ds="http://schemas.openxmlformats.org/officeDocument/2006/customXml" ds:itemID="{96271CC3-2537-42CE-8015-B63F262C6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b32321-44da-4c62-ad0f-14b4f1faba7c"/>
    <ds:schemaRef ds:uri="b5eadae6-6b7d-492b-8412-8c966af60245"/>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CRPD.dotm</Template>
  <TotalTime>0</TotalTime>
  <Pages>24</Pages>
  <Words>10726</Words>
  <Characters>69612</Characters>
  <Application>Microsoft Office Word</Application>
  <DocSecurity>0</DocSecurity>
  <Lines>1070</Lines>
  <Paragraphs>347</Paragraphs>
  <ScaleCrop>false</ScaleCrop>
  <HeadingPairs>
    <vt:vector size="2" baseType="variant">
      <vt:variant>
        <vt:lpstr>Title</vt:lpstr>
      </vt:variant>
      <vt:variant>
        <vt:i4>1</vt:i4>
      </vt:variant>
    </vt:vector>
  </HeadingPairs>
  <TitlesOfParts>
    <vt:vector size="1" baseType="lpstr">
      <vt:lpstr>CRPD/C/8</vt:lpstr>
    </vt:vector>
  </TitlesOfParts>
  <Company>DCM</Company>
  <LinksUpToDate>false</LinksUpToDate>
  <CharactersWithSpaces>79991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CRPD/C/8</dc:title>
  <dc:subject>2614608</dc:subject>
  <dc:creator>cg</dc:creator>
  <cp:keywords/>
  <dc:description/>
  <cp:lastModifiedBy>Ma. Cristina Brigoli</cp:lastModifiedBy>
  <cp:revision>2</cp:revision>
  <cp:lastPrinted>2026-10-15T07:27:00Z</cp:lastPrinted>
  <dcterms:created xsi:type="dcterms:W3CDTF">2026-10-15T07:31:00Z</dcterms:created>
  <dcterms:modified xsi:type="dcterms:W3CDTF">2026-10-15T07:31:00Z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14ace524ae46bde7de91d5e9a1ee1d4d0255d4c9b0430d772ba37f635a213f0b</vt:lpwstr>
  </property>
  <property fmtid="{D5CDD505-2E9C-101B-9397-08002B2CF9AE}" pid="3" name="ContentTypeId">
    <vt:lpwstr>0x010100734BCCF75FF83A44BFF3683CDB9015E4</vt:lpwstr>
  </property>
</Properties>
</file>